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626CA" w14:textId="77777777" w:rsidR="00B66F04" w:rsidRDefault="00B66F04"/>
    <w:p w14:paraId="28EAFD8F" w14:textId="77777777" w:rsidR="00147102" w:rsidRDefault="00147102" w:rsidP="00147102">
      <w:pPr>
        <w:pStyle w:val="TRBody1"/>
        <w:spacing w:after="0"/>
        <w:ind w:left="90" w:firstLine="0"/>
        <w:jc w:val="left"/>
      </w:pPr>
    </w:p>
    <w:p w14:paraId="5A0E192F" w14:textId="77777777" w:rsidR="00147102" w:rsidRDefault="00147102" w:rsidP="00147102">
      <w:pPr>
        <w:rPr>
          <w:lang w:val="en-ZA"/>
        </w:rPr>
      </w:pPr>
    </w:p>
    <w:p w14:paraId="69E90FCA" w14:textId="77777777" w:rsidR="002E159C" w:rsidRDefault="002E159C" w:rsidP="002E159C">
      <w:pPr>
        <w:pStyle w:val="TRBody1"/>
        <w:spacing w:after="0"/>
        <w:ind w:firstLine="0"/>
        <w:jc w:val="center"/>
      </w:pPr>
      <w:r>
        <w:t>LITIGATION CLIENT AGREEMENT</w:t>
      </w:r>
    </w:p>
    <w:p w14:paraId="2D0FB1EB" w14:textId="77777777" w:rsidR="002E159C" w:rsidRPr="00C01E71" w:rsidRDefault="002E159C" w:rsidP="004B5187">
      <w:pPr>
        <w:pStyle w:val="TRBody1"/>
        <w:spacing w:after="0"/>
        <w:ind w:firstLine="0"/>
      </w:pPr>
    </w:p>
    <w:p w14:paraId="4E294FAC" w14:textId="75E68718" w:rsidR="000A38C5" w:rsidRPr="00C0755F" w:rsidRDefault="00CC1EF2" w:rsidP="000A38C5">
      <w:pPr>
        <w:pStyle w:val="TRBody1"/>
      </w:pPr>
      <w:r w:rsidRPr="00C0755F">
        <w:t xml:space="preserve">THIS AGREEMENT, a contract for employment of legal counsel, is made and entered into by and between </w:t>
      </w:r>
      <w:r w:rsidR="00134FA5" w:rsidRPr="00C0755F">
        <w:t>Rosen Law Firm</w:t>
      </w:r>
      <w:r w:rsidRPr="00C0755F">
        <w:t xml:space="preserve">, hereinafter referred to as "the Firm," and </w:t>
      </w:r>
      <w:r w:rsidR="00050BA0">
        <w:t>__________________</w:t>
      </w:r>
      <w:r w:rsidRPr="00C0755F">
        <w:t>, hereinafter referred to as "the Client."</w:t>
      </w:r>
    </w:p>
    <w:p w14:paraId="21E26861" w14:textId="0CAF69D7" w:rsidR="000A38C5" w:rsidRPr="00C0755F" w:rsidRDefault="00CC1EF2" w:rsidP="00BF4F6A">
      <w:pPr>
        <w:pStyle w:val="TRBody1"/>
      </w:pPr>
      <w:r w:rsidRPr="00C0755F">
        <w:t xml:space="preserve">By signing this Agreement, Client employs the Firm to represent Client with regard to the litigation of a domestic dispute.  The representation shall be limited to the matters </w:t>
      </w:r>
      <w:r w:rsidR="00177285" w:rsidRPr="00C0755F">
        <w:t xml:space="preserve">of </w:t>
      </w:r>
      <w:r w:rsidR="00147102">
        <w:rPr>
          <w:lang w:val="en-ZA"/>
        </w:rPr>
        <w:t>Equitable Distribution, Child Custody, Child Support and Alimony and Post Separation Support</w:t>
      </w:r>
      <w:r w:rsidR="00147102" w:rsidRPr="00C0755F">
        <w:t>.</w:t>
      </w:r>
    </w:p>
    <w:p w14:paraId="05CB247D" w14:textId="77777777" w:rsidR="000A38C5" w:rsidRPr="00C0755F" w:rsidRDefault="00CC1EF2" w:rsidP="000A38C5">
      <w:pPr>
        <w:pStyle w:val="TRBody1"/>
      </w:pPr>
      <w:r w:rsidRPr="00C0755F">
        <w:t xml:space="preserve">A separate agreement will be negotiated between the Client and Firm in the event that an appeal is undertaken.  </w:t>
      </w:r>
      <w:r w:rsidR="00F94BD7">
        <w:t xml:space="preserve">The </w:t>
      </w:r>
      <w:r w:rsidRPr="00C0755F">
        <w:t>Client understands that the Firm will not represent the Client in any appeal until such time as the separate agreement is negotiated.</w:t>
      </w:r>
    </w:p>
    <w:p w14:paraId="5D437B51" w14:textId="77777777" w:rsidR="000A38C5" w:rsidRPr="00C0755F" w:rsidRDefault="00CC1EF2" w:rsidP="000A38C5">
      <w:pPr>
        <w:pStyle w:val="TRBody1"/>
      </w:pPr>
      <w:r w:rsidRPr="00C0755F">
        <w:t xml:space="preserve">In consideration of the legal services to be furnished by the Firm, </w:t>
      </w:r>
      <w:r w:rsidR="00F94BD7">
        <w:t xml:space="preserve">the </w:t>
      </w:r>
      <w:r w:rsidRPr="00C0755F">
        <w:t xml:space="preserve">Client shall pay the Firm pursuant to the following fee arrangements: </w:t>
      </w:r>
    </w:p>
    <w:p w14:paraId="00DEBD34" w14:textId="77777777" w:rsidR="00CC1EF2" w:rsidRDefault="00CC1EF2" w:rsidP="000A38C5">
      <w:pPr>
        <w:pStyle w:val="TRBody1"/>
      </w:pPr>
      <w:r w:rsidRPr="00C0755F">
        <w:rPr>
          <w:b/>
          <w:bCs/>
          <w:u w:val="single"/>
        </w:rPr>
        <w:t>Legal Services</w:t>
      </w:r>
      <w:r w:rsidRPr="00C0755F">
        <w:t xml:space="preserve">.  </w:t>
      </w:r>
      <w:r w:rsidR="00FD02D7" w:rsidRPr="00C0755F">
        <w:t>The aforementioned services are provided to the Client, and the Firm is reserving its services for</w:t>
      </w:r>
      <w:r w:rsidR="00F32081">
        <w:t xml:space="preserve"> </w:t>
      </w:r>
      <w:r w:rsidR="00F94BD7">
        <w:t xml:space="preserve">the </w:t>
      </w:r>
      <w:r w:rsidR="00F32081">
        <w:t xml:space="preserve">Client, in exchange for </w:t>
      </w:r>
      <w:r w:rsidR="00F94BD7">
        <w:t xml:space="preserve">flat or </w:t>
      </w:r>
      <w:r w:rsidR="00F32081">
        <w:t xml:space="preserve">fixed </w:t>
      </w:r>
      <w:r w:rsidR="00FD02D7" w:rsidRPr="00C0755F">
        <w:t xml:space="preserve">fees </w:t>
      </w:r>
      <w:r w:rsidR="00F94BD7">
        <w:t xml:space="preserve">for specified services to be </w:t>
      </w:r>
      <w:r w:rsidR="00FD02D7" w:rsidRPr="00C0755F">
        <w:t>paid according to the following schedule:</w:t>
      </w:r>
    </w:p>
    <w:p w14:paraId="7C0D2125" w14:textId="1952173B" w:rsidR="00D9606E" w:rsidRDefault="00A73A8A" w:rsidP="00E90C21">
      <w:pPr>
        <w:pStyle w:val="TRBody1"/>
        <w:spacing w:after="0"/>
      </w:pPr>
      <w:r>
        <w:t>$</w:t>
      </w:r>
      <w:r w:rsidR="00050BA0">
        <w:t>10</w:t>
      </w:r>
      <w:r w:rsidR="009356FC">
        <w:t>,0</w:t>
      </w:r>
      <w:r w:rsidR="00147102">
        <w:t xml:space="preserve">00.00 </w:t>
      </w:r>
      <w:r w:rsidR="00B620BC" w:rsidRPr="00C0755F">
        <w:t xml:space="preserve">for initiation of litigation, </w:t>
      </w:r>
      <w:r w:rsidR="0005766F">
        <w:t xml:space="preserve">including </w:t>
      </w:r>
      <w:r w:rsidR="00D9606E">
        <w:t>review</w:t>
      </w:r>
      <w:r w:rsidR="006E14D5">
        <w:t xml:space="preserve"> of financial information, court documents and prior attorney work-product</w:t>
      </w:r>
      <w:r w:rsidR="00D9606E">
        <w:t xml:space="preserve">, </w:t>
      </w:r>
      <w:r w:rsidR="00B620BC" w:rsidRPr="00C0755F">
        <w:t xml:space="preserve">drafting initial pleadings, responding to mandatory disclosures, preparing affidavits, and scheduling temporary hearings as determined necessary by the </w:t>
      </w:r>
      <w:r w:rsidR="006E14D5">
        <w:t>firm</w:t>
      </w:r>
      <w:r w:rsidR="00B620BC" w:rsidRPr="00C0755F">
        <w:t>, which fee is due upon retention of the Firm’s services, and</w:t>
      </w:r>
    </w:p>
    <w:p w14:paraId="1EBD7D8F" w14:textId="77777777" w:rsidR="00E90C21" w:rsidRPr="00C0755F" w:rsidRDefault="00E90C21" w:rsidP="00E90C21">
      <w:pPr>
        <w:pStyle w:val="TRBody1"/>
        <w:spacing w:after="0"/>
      </w:pPr>
    </w:p>
    <w:p w14:paraId="6686925E" w14:textId="77777777" w:rsidR="00CC1EF2" w:rsidRDefault="00A73A8A" w:rsidP="00E90C21">
      <w:pPr>
        <w:pStyle w:val="TRBody1"/>
        <w:spacing w:after="0"/>
      </w:pPr>
      <w:r>
        <w:t>$</w:t>
      </w:r>
      <w:r w:rsidR="00147102">
        <w:t xml:space="preserve">10,000.00 </w:t>
      </w:r>
      <w:r w:rsidR="0005766F">
        <w:t xml:space="preserve">for </w:t>
      </w:r>
      <w:r w:rsidR="00C33BE9" w:rsidRPr="00C0755F">
        <w:t xml:space="preserve">conducting, responding to and analyzing discovery, filing motions to compel, and scheduling temporary or permanent hearings and other motions as necessary, which fee is due </w:t>
      </w:r>
      <w:r w:rsidR="00D9606E">
        <w:t>upon com</w:t>
      </w:r>
      <w:r w:rsidR="00177285">
        <w:t>mencement of discovery by opposing</w:t>
      </w:r>
      <w:r w:rsidR="00D9606E">
        <w:t xml:space="preserve"> party</w:t>
      </w:r>
      <w:r w:rsidR="00177285">
        <w:t xml:space="preserve"> and/or the recommendation of the </w:t>
      </w:r>
      <w:r w:rsidR="00F54555">
        <w:t>firm</w:t>
      </w:r>
      <w:r w:rsidR="00177285">
        <w:t xml:space="preserve"> to commence discovery</w:t>
      </w:r>
      <w:r w:rsidR="00756731">
        <w:t xml:space="preserve"> on behalf of Client</w:t>
      </w:r>
      <w:r w:rsidR="00C33BE9" w:rsidRPr="00C0755F">
        <w:t>, and</w:t>
      </w:r>
    </w:p>
    <w:p w14:paraId="53A9FB8F" w14:textId="77777777" w:rsidR="00E90C21" w:rsidRPr="00C0755F" w:rsidRDefault="00E90C21" w:rsidP="00E90C21">
      <w:pPr>
        <w:pStyle w:val="TRBody1"/>
        <w:spacing w:after="0"/>
      </w:pPr>
    </w:p>
    <w:p w14:paraId="3B248DDE" w14:textId="72B6183D" w:rsidR="00D91D6D" w:rsidRDefault="00A73A8A" w:rsidP="00E90C21">
      <w:pPr>
        <w:pStyle w:val="TRBody1"/>
        <w:spacing w:after="0"/>
      </w:pPr>
      <w:r>
        <w:t>$</w:t>
      </w:r>
      <w:r w:rsidR="009356FC">
        <w:t>5</w:t>
      </w:r>
      <w:r w:rsidR="00FD3942">
        <w:t>,000.00</w:t>
      </w:r>
      <w:r w:rsidR="00C7394A" w:rsidRPr="00C0755F">
        <w:t xml:space="preserve"> </w:t>
      </w:r>
      <w:r w:rsidR="0005766F">
        <w:t xml:space="preserve">for </w:t>
      </w:r>
      <w:r w:rsidR="00F54555">
        <w:t xml:space="preserve">preparing for and </w:t>
      </w:r>
      <w:r w:rsidR="00D91D6D" w:rsidRPr="00C0755F">
        <w:t>engaging in alternative dispute resolution</w:t>
      </w:r>
      <w:r w:rsidR="00F54555">
        <w:t xml:space="preserve"> (mediation, arbitration or similar alternatives)</w:t>
      </w:r>
      <w:r w:rsidR="00D91D6D" w:rsidRPr="00C0755F">
        <w:t xml:space="preserve">, </w:t>
      </w:r>
      <w:r w:rsidR="00F54555">
        <w:t xml:space="preserve">and </w:t>
      </w:r>
      <w:r w:rsidR="00D91D6D" w:rsidRPr="00C0755F">
        <w:t>determining the need for</w:t>
      </w:r>
      <w:r w:rsidR="00F54555">
        <w:t>, selecting,</w:t>
      </w:r>
      <w:r w:rsidR="00D91D6D" w:rsidRPr="00C0755F">
        <w:t xml:space="preserve"> and engaging expert witnesses</w:t>
      </w:r>
      <w:r w:rsidR="00F54555">
        <w:t xml:space="preserve"> and consultants</w:t>
      </w:r>
      <w:r w:rsidR="00D91D6D" w:rsidRPr="00C0755F">
        <w:t xml:space="preserve">, which fee is due </w:t>
      </w:r>
      <w:r w:rsidR="00D9606E">
        <w:t>upon scheduling</w:t>
      </w:r>
      <w:r w:rsidR="00F54555">
        <w:t xml:space="preserve"> alternative dispute resolution</w:t>
      </w:r>
      <w:r w:rsidR="00177285">
        <w:t>, and</w:t>
      </w:r>
    </w:p>
    <w:p w14:paraId="04634D3A" w14:textId="77777777" w:rsidR="00177285" w:rsidRDefault="00177285" w:rsidP="00E90C21">
      <w:pPr>
        <w:pStyle w:val="TRBody1"/>
        <w:spacing w:after="0"/>
      </w:pPr>
    </w:p>
    <w:p w14:paraId="709659CC" w14:textId="77777777" w:rsidR="0015328D" w:rsidRDefault="00756731" w:rsidP="00E90C21">
      <w:pPr>
        <w:pStyle w:val="TRBody1"/>
        <w:spacing w:after="0"/>
      </w:pPr>
      <w:r>
        <w:t>$</w:t>
      </w:r>
      <w:r w:rsidR="00A73A8A">
        <w:t>10,000.00</w:t>
      </w:r>
      <w:r w:rsidR="00177285">
        <w:t xml:space="preserve"> for taking </w:t>
      </w:r>
      <w:r>
        <w:t xml:space="preserve">up to two </w:t>
      </w:r>
      <w:r w:rsidR="00177285">
        <w:t>depositions</w:t>
      </w:r>
      <w:r>
        <w:t xml:space="preserve"> for two days each,</w:t>
      </w:r>
      <w:r w:rsidR="00177285">
        <w:t xml:space="preserve"> which fee is due upon receipt of a notice of deposition from the opposing party and/or the recommendation of the </w:t>
      </w:r>
      <w:r w:rsidR="00F54555">
        <w:t>firm</w:t>
      </w:r>
      <w:r w:rsidR="0015328D">
        <w:t>,</w:t>
      </w:r>
      <w:r w:rsidR="00F54555">
        <w:t xml:space="preserve"> </w:t>
      </w:r>
      <w:r w:rsidR="00177285">
        <w:t xml:space="preserve">and </w:t>
      </w:r>
    </w:p>
    <w:p w14:paraId="07AEC533" w14:textId="77777777" w:rsidR="00177285" w:rsidRDefault="00177285" w:rsidP="009356FC">
      <w:pPr>
        <w:pStyle w:val="TRBody1"/>
        <w:spacing w:after="0"/>
        <w:ind w:firstLine="0"/>
      </w:pPr>
    </w:p>
    <w:p w14:paraId="56CFF18B" w14:textId="71CCA294" w:rsidR="00177285" w:rsidRDefault="00177285" w:rsidP="00E90C21">
      <w:pPr>
        <w:pStyle w:val="TRBody1"/>
        <w:spacing w:after="0"/>
      </w:pPr>
      <w:r>
        <w:t>$</w:t>
      </w:r>
      <w:r w:rsidR="009356FC">
        <w:t>2</w:t>
      </w:r>
      <w:r w:rsidR="00A73A8A">
        <w:t>,</w:t>
      </w:r>
      <w:r w:rsidR="009356FC">
        <w:t>5</w:t>
      </w:r>
      <w:r w:rsidR="00A73A8A">
        <w:t>00.00</w:t>
      </w:r>
      <w:r>
        <w:t xml:space="preserve"> for communication with the parenting coordinator including meetings, telephone calls and correspondence with the parenting coordinator, </w:t>
      </w:r>
      <w:r w:rsidR="00495130">
        <w:t xml:space="preserve">which fee is due upon the appointment of a parenting coordinator </w:t>
      </w:r>
      <w:r>
        <w:t>and</w:t>
      </w:r>
    </w:p>
    <w:p w14:paraId="02724E4C" w14:textId="77777777" w:rsidR="00E90C21" w:rsidRPr="00C0755F" w:rsidRDefault="00E90C21" w:rsidP="00E90C21">
      <w:pPr>
        <w:pStyle w:val="TRBody1"/>
        <w:spacing w:after="0"/>
      </w:pPr>
    </w:p>
    <w:p w14:paraId="76326331" w14:textId="562E6427" w:rsidR="00E90C21" w:rsidRDefault="00FD3942" w:rsidP="00E90C21">
      <w:pPr>
        <w:pStyle w:val="TRBody1"/>
        <w:spacing w:after="0"/>
      </w:pPr>
      <w:r>
        <w:lastRenderedPageBreak/>
        <w:t>$</w:t>
      </w:r>
      <w:r w:rsidR="009356FC">
        <w:t>4</w:t>
      </w:r>
      <w:r>
        <w:t xml:space="preserve">,000.00 </w:t>
      </w:r>
      <w:r w:rsidR="00F32081">
        <w:t xml:space="preserve">for </w:t>
      </w:r>
      <w:r w:rsidR="00C7394A" w:rsidRPr="00C0755F">
        <w:t xml:space="preserve">the </w:t>
      </w:r>
      <w:r w:rsidR="0005766F">
        <w:t>P</w:t>
      </w:r>
      <w:r w:rsidR="00C7394A" w:rsidRPr="00C0755F">
        <w:t xml:space="preserve">ost-separation </w:t>
      </w:r>
      <w:r w:rsidR="0005766F">
        <w:t>S</w:t>
      </w:r>
      <w:r w:rsidR="00B15356">
        <w:t>upport hearing due 15</w:t>
      </w:r>
      <w:r w:rsidR="00C7394A" w:rsidRPr="00C0755F">
        <w:t xml:space="preserve"> days prior to the scheduled hearing, and</w:t>
      </w:r>
    </w:p>
    <w:p w14:paraId="061447BE" w14:textId="77777777" w:rsidR="00FD3942" w:rsidRDefault="00FD3942" w:rsidP="00E90C21">
      <w:pPr>
        <w:pStyle w:val="TRBody1"/>
        <w:spacing w:after="0"/>
      </w:pPr>
    </w:p>
    <w:p w14:paraId="5310EEA8" w14:textId="77777777" w:rsidR="00177285" w:rsidRDefault="00A73A8A" w:rsidP="00FD3942">
      <w:pPr>
        <w:pStyle w:val="TRBody1"/>
        <w:spacing w:after="0"/>
      </w:pPr>
      <w:r>
        <w:t>$</w:t>
      </w:r>
      <w:r w:rsidR="00FD3942">
        <w:t>8,000.00</w:t>
      </w:r>
      <w:r w:rsidR="0049413B">
        <w:t xml:space="preserve"> </w:t>
      </w:r>
      <w:r w:rsidR="00177285">
        <w:t xml:space="preserve">for </w:t>
      </w:r>
      <w:r w:rsidR="00177285" w:rsidRPr="00C0755F">
        <w:t xml:space="preserve">the </w:t>
      </w:r>
      <w:r w:rsidR="00667205">
        <w:t>permanent Child Custody</w:t>
      </w:r>
      <w:r w:rsidR="00177285" w:rsidRPr="00C0755F">
        <w:t xml:space="preserve"> hearing due 45 days prior to the scheduled hearing, and</w:t>
      </w:r>
    </w:p>
    <w:p w14:paraId="4BA08A6F" w14:textId="77777777" w:rsidR="00FD3942" w:rsidRDefault="00FD3942" w:rsidP="00177285">
      <w:pPr>
        <w:pStyle w:val="TRBody1"/>
        <w:spacing w:after="0"/>
      </w:pPr>
    </w:p>
    <w:p w14:paraId="68EB9146" w14:textId="151CF58B" w:rsidR="00667205" w:rsidRDefault="00A73A8A" w:rsidP="00667205">
      <w:pPr>
        <w:pStyle w:val="TRBody1"/>
        <w:spacing w:after="0"/>
      </w:pPr>
      <w:r>
        <w:t>$</w:t>
      </w:r>
      <w:r w:rsidR="009356FC">
        <w:t>6</w:t>
      </w:r>
      <w:r w:rsidR="00FD3942">
        <w:t>,000.00</w:t>
      </w:r>
      <w:r w:rsidR="00667205" w:rsidRPr="00C0755F">
        <w:t xml:space="preserve"> </w:t>
      </w:r>
      <w:r w:rsidR="00667205">
        <w:t xml:space="preserve">for </w:t>
      </w:r>
      <w:r w:rsidR="00667205" w:rsidRPr="00C0755F">
        <w:t xml:space="preserve">the </w:t>
      </w:r>
      <w:r w:rsidR="00667205">
        <w:t>permanent Child Support</w:t>
      </w:r>
      <w:r w:rsidR="00667205" w:rsidRPr="00C0755F">
        <w:t xml:space="preserve"> hearing due 45 days prior to the scheduled hearing, and</w:t>
      </w:r>
    </w:p>
    <w:p w14:paraId="3031192D" w14:textId="77777777" w:rsidR="00667205" w:rsidRDefault="00667205" w:rsidP="00667205">
      <w:pPr>
        <w:pStyle w:val="TRBody1"/>
        <w:spacing w:after="0"/>
      </w:pPr>
    </w:p>
    <w:p w14:paraId="669F98A8" w14:textId="77777777" w:rsidR="00E90C21" w:rsidRDefault="00A73A8A" w:rsidP="00177285">
      <w:pPr>
        <w:pStyle w:val="TRBody1"/>
        <w:spacing w:after="0"/>
      </w:pPr>
      <w:r>
        <w:t>$</w:t>
      </w:r>
      <w:r w:rsidR="00FD3942">
        <w:t>9,000.00</w:t>
      </w:r>
      <w:r w:rsidR="00C7394A" w:rsidRPr="00C0755F">
        <w:t xml:space="preserve"> </w:t>
      </w:r>
      <w:r w:rsidR="00F32081">
        <w:t xml:space="preserve">for </w:t>
      </w:r>
      <w:r w:rsidR="00256E89" w:rsidRPr="00C0755F">
        <w:t xml:space="preserve">the </w:t>
      </w:r>
      <w:r w:rsidR="0005766F">
        <w:t>A</w:t>
      </w:r>
      <w:r w:rsidR="00256E89" w:rsidRPr="00C0755F">
        <w:t>limony hearing due 45 days prior to the scheduled hearing, and</w:t>
      </w:r>
    </w:p>
    <w:p w14:paraId="13B03F8C" w14:textId="77777777" w:rsidR="00B057D3" w:rsidRDefault="00B057D3" w:rsidP="00E90C21">
      <w:pPr>
        <w:pStyle w:val="TRBody1"/>
        <w:spacing w:after="0"/>
      </w:pPr>
    </w:p>
    <w:p w14:paraId="6B82A184" w14:textId="2F7210DB" w:rsidR="00E90C21" w:rsidRDefault="00A73A8A" w:rsidP="00E90C21">
      <w:pPr>
        <w:pStyle w:val="TRBody1"/>
        <w:spacing w:after="0"/>
      </w:pPr>
      <w:r>
        <w:t>$</w:t>
      </w:r>
      <w:r w:rsidR="009356FC">
        <w:t>2</w:t>
      </w:r>
      <w:r w:rsidR="00FD3942">
        <w:t>,500.00</w:t>
      </w:r>
      <w:r w:rsidR="00C7394A" w:rsidRPr="00C0755F">
        <w:t xml:space="preserve"> </w:t>
      </w:r>
      <w:r w:rsidR="00256E89" w:rsidRPr="00C0755F">
        <w:t xml:space="preserve">for </w:t>
      </w:r>
      <w:r w:rsidR="00F32081">
        <w:t xml:space="preserve">the </w:t>
      </w:r>
      <w:r w:rsidR="00256E89" w:rsidRPr="00C0755F">
        <w:t xml:space="preserve">equitable distribution </w:t>
      </w:r>
      <w:r w:rsidR="00F32081">
        <w:t xml:space="preserve">initial pretrial conference, which is </w:t>
      </w:r>
      <w:r w:rsidR="00256E89" w:rsidRPr="00C0755F">
        <w:t>due 45 days prior to the scheduled date of th</w:t>
      </w:r>
      <w:r w:rsidR="00550269" w:rsidRPr="00C0755F">
        <w:t>e equitable distribution</w:t>
      </w:r>
      <w:r w:rsidR="00256E89" w:rsidRPr="00C0755F">
        <w:t xml:space="preserve"> </w:t>
      </w:r>
      <w:r w:rsidR="00C7394A" w:rsidRPr="00C0755F">
        <w:t>Initial Pre-Trial Conference, and</w:t>
      </w:r>
    </w:p>
    <w:p w14:paraId="0D7B45FC" w14:textId="77777777" w:rsidR="00B057D3" w:rsidRDefault="00B057D3" w:rsidP="00E90C21">
      <w:pPr>
        <w:pStyle w:val="TRBody1"/>
        <w:spacing w:after="0"/>
      </w:pPr>
    </w:p>
    <w:p w14:paraId="4D387FEE" w14:textId="260125EC" w:rsidR="00C7394A" w:rsidRDefault="00A73A8A" w:rsidP="00E90C21">
      <w:pPr>
        <w:pStyle w:val="TRBody1"/>
        <w:spacing w:after="0"/>
      </w:pPr>
      <w:r>
        <w:t>$</w:t>
      </w:r>
      <w:r w:rsidR="009356FC">
        <w:t>5</w:t>
      </w:r>
      <w:r w:rsidR="00FD3942">
        <w:t>,000.00</w:t>
      </w:r>
      <w:r w:rsidR="00C7394A" w:rsidRPr="00C0755F">
        <w:t xml:space="preserve"> for </w:t>
      </w:r>
      <w:r w:rsidR="00F32081">
        <w:t xml:space="preserve">the </w:t>
      </w:r>
      <w:r w:rsidR="00F32081" w:rsidRPr="00C0755F">
        <w:t xml:space="preserve">equitable distribution </w:t>
      </w:r>
      <w:r w:rsidR="00F32081">
        <w:t xml:space="preserve">final pretrial conference, which is </w:t>
      </w:r>
      <w:r w:rsidR="00C7394A" w:rsidRPr="00C0755F">
        <w:t>due 45 days prior to the scheduled date of the Final Pre-Trial Conference, and</w:t>
      </w:r>
    </w:p>
    <w:p w14:paraId="0B90ADD2" w14:textId="77777777" w:rsidR="00824E98" w:rsidRDefault="00824E98" w:rsidP="00E90C21">
      <w:pPr>
        <w:pStyle w:val="TRBody1"/>
        <w:spacing w:after="0"/>
      </w:pPr>
    </w:p>
    <w:p w14:paraId="48691B65" w14:textId="77777777" w:rsidR="00CC1EF2" w:rsidRDefault="00A73A8A" w:rsidP="00E90C21">
      <w:pPr>
        <w:pStyle w:val="TRBody1"/>
        <w:spacing w:after="0"/>
      </w:pPr>
      <w:r>
        <w:t>$</w:t>
      </w:r>
      <w:r w:rsidR="00FD3942">
        <w:t>10,000.00</w:t>
      </w:r>
      <w:r w:rsidR="00C7394A" w:rsidRPr="00C0755F">
        <w:t xml:space="preserve"> </w:t>
      </w:r>
      <w:r w:rsidR="00F32081">
        <w:t xml:space="preserve">for the Equitable Distribution hearing, </w:t>
      </w:r>
      <w:r w:rsidR="00CC1EF2" w:rsidRPr="00C0755F">
        <w:t>paid 45 days prior to the scheduled date of the equitable distribution hearing, and</w:t>
      </w:r>
    </w:p>
    <w:p w14:paraId="034CBDD3" w14:textId="77777777" w:rsidR="00824E98" w:rsidRDefault="00824E98" w:rsidP="00E90C21">
      <w:pPr>
        <w:pStyle w:val="TRBody1"/>
        <w:spacing w:after="0"/>
      </w:pPr>
    </w:p>
    <w:p w14:paraId="321AE9BF" w14:textId="151891CC" w:rsidR="00D9606E" w:rsidRDefault="00D9606E" w:rsidP="00E90C21">
      <w:pPr>
        <w:pStyle w:val="TRBody1"/>
        <w:spacing w:after="0"/>
      </w:pPr>
      <w:r>
        <w:t>$5,000 for</w:t>
      </w:r>
      <w:r w:rsidR="00756731">
        <w:t xml:space="preserve"> every</w:t>
      </w:r>
      <w:r>
        <w:t xml:space="preserve"> </w:t>
      </w:r>
      <w:r w:rsidR="00756731">
        <w:t>post trial hearing or conference</w:t>
      </w:r>
      <w:r w:rsidR="00177285">
        <w:t xml:space="preserve"> regarding entry of an Order</w:t>
      </w:r>
      <w:r w:rsidR="00475888">
        <w:t xml:space="preserve"> which fee is due 15 days post trial in the event the language of the proposed order is disputed and</w:t>
      </w:r>
    </w:p>
    <w:p w14:paraId="4D8610AA" w14:textId="77777777" w:rsidR="00B057D3" w:rsidRDefault="00B057D3" w:rsidP="00E90C21">
      <w:pPr>
        <w:pStyle w:val="TRBody1"/>
        <w:spacing w:after="0"/>
      </w:pPr>
    </w:p>
    <w:p w14:paraId="2B3A3728" w14:textId="77777777" w:rsidR="00CC1EF2" w:rsidRDefault="001C7D96" w:rsidP="00E90C21">
      <w:pPr>
        <w:pStyle w:val="TRBody1"/>
        <w:spacing w:after="0"/>
      </w:pPr>
      <w:r>
        <w:t xml:space="preserve">$ </w:t>
      </w:r>
      <w:r w:rsidR="00EF3593">
        <w:t>255.00</w:t>
      </w:r>
      <w:r w:rsidR="006B7820">
        <w:t xml:space="preserve"> </w:t>
      </w:r>
      <w:r w:rsidR="00CC1EF2" w:rsidRPr="00C0755F">
        <w:t>paid upon filing for absolute divorce.</w:t>
      </w:r>
    </w:p>
    <w:p w14:paraId="7362B47F" w14:textId="77777777" w:rsidR="004E24F6" w:rsidRPr="00C0755F" w:rsidRDefault="004E24F6" w:rsidP="00E90C21">
      <w:pPr>
        <w:pStyle w:val="TRBody1"/>
        <w:spacing w:after="0"/>
      </w:pPr>
    </w:p>
    <w:p w14:paraId="2CB36A78" w14:textId="77777777" w:rsidR="006131C2" w:rsidRPr="00C0755F" w:rsidRDefault="00E97BED" w:rsidP="006131C2">
      <w:pPr>
        <w:pStyle w:val="TRBody1"/>
      </w:pPr>
      <w:r w:rsidRPr="00C0755F">
        <w:t xml:space="preserve">All hearing </w:t>
      </w:r>
      <w:r w:rsidR="00F32081">
        <w:t xml:space="preserve">preparation </w:t>
      </w:r>
      <w:r w:rsidRPr="00C0755F">
        <w:t xml:space="preserve">fees are paid only once, regardless whether the hearing is continued beyond the original hearing date. </w:t>
      </w:r>
    </w:p>
    <w:p w14:paraId="7A083AA8" w14:textId="77777777" w:rsidR="00266937" w:rsidRPr="00C0755F" w:rsidRDefault="000A67ED" w:rsidP="00266937">
      <w:pPr>
        <w:pStyle w:val="TRBody1"/>
      </w:pPr>
      <w:r w:rsidRPr="000A67ED">
        <w:t>In the event a Qualified Domestic Relations Order is required to be drafted by the Firm, the Client shall pay a fee of Two Thousand Five Hundred Dollars ($</w:t>
      </w:r>
      <w:r w:rsidR="009C0764">
        <w:t>2,500.00</w:t>
      </w:r>
      <w:r w:rsidR="009C0764" w:rsidRPr="00C0755F">
        <w:t xml:space="preserve"> </w:t>
      </w:r>
      <w:r w:rsidRPr="000A67ED">
        <w:t xml:space="preserve">) for each Qualified Domestic Relations Order. In the event a Qualified Domestic Relations Order is drafted by the opposing party, or their attorney, Client shall pay a fee of </w:t>
      </w:r>
      <w:r w:rsidR="007A09DF">
        <w:t>One</w:t>
      </w:r>
      <w:r w:rsidRPr="000A67ED">
        <w:t xml:space="preserve"> Thousand</w:t>
      </w:r>
      <w:r w:rsidR="007A09DF">
        <w:t xml:space="preserve"> Five Hundred</w:t>
      </w:r>
      <w:r w:rsidRPr="000A67ED">
        <w:t xml:space="preserve"> Dollars ($</w:t>
      </w:r>
      <w:r w:rsidR="009C0764">
        <w:t>1,500.00</w:t>
      </w:r>
      <w:r w:rsidR="009C0764" w:rsidRPr="00C0755F">
        <w:t xml:space="preserve"> </w:t>
      </w:r>
      <w:r w:rsidRPr="000A67ED">
        <w:t xml:space="preserve">) for the Firm’s review </w:t>
      </w:r>
      <w:r w:rsidR="00495130">
        <w:t xml:space="preserve">and editing </w:t>
      </w:r>
      <w:r w:rsidRPr="000A67ED">
        <w:t>of each Qua</w:t>
      </w:r>
      <w:r>
        <w:t>lified Domestic Relations Order</w:t>
      </w:r>
      <w:r w:rsidR="00266937" w:rsidRPr="00C0755F">
        <w:t>.</w:t>
      </w:r>
    </w:p>
    <w:p w14:paraId="28BF40A9" w14:textId="77777777" w:rsidR="006131C2" w:rsidRPr="00C0755F" w:rsidRDefault="00F94BD7" w:rsidP="006131C2">
      <w:pPr>
        <w:pStyle w:val="TRBody1"/>
      </w:pPr>
      <w:r w:rsidRPr="00F94BD7">
        <w:t xml:space="preserve">The Client will have no obligation to pay any of the flat fees if the matter is resolved by execution of a written document prior to the fee becoming due.  Each payment pursuant to this schedule is a prepaid flat fee for providing the services described above, and represents the entire payment for the specified legal work to be performed, regardless of the amount of time that it takes to perform the legal work.  The fees are earned immediately upon payment and will be deposited in the firm’s business account.  When the representation ends, </w:t>
      </w:r>
      <w:r>
        <w:t xml:space="preserve">the </w:t>
      </w:r>
      <w:r w:rsidRPr="00F94BD7">
        <w:t>Client will not be entitled to a refund of any portion of the flat fee unless (1) the legal work is not completed, in which event a proportionate refund may be owed, or (2) it can be demonstrated that the flat fee is clearly ex</w:t>
      </w:r>
      <w:r>
        <w:t>cessive under the circumstances</w:t>
      </w:r>
      <w:r w:rsidR="00E97BED" w:rsidRPr="00C0755F">
        <w:t>.</w:t>
      </w:r>
    </w:p>
    <w:p w14:paraId="4C205029" w14:textId="77777777" w:rsidR="006131C2" w:rsidRPr="00C0755F" w:rsidRDefault="00E97BED" w:rsidP="006131C2">
      <w:pPr>
        <w:pStyle w:val="TRBody1"/>
      </w:pPr>
      <w:r w:rsidRPr="00C0755F">
        <w:t xml:space="preserve">The aforementioned fees include presenting testimony of up to five (5) </w:t>
      </w:r>
      <w:r w:rsidR="00F32081">
        <w:t xml:space="preserve">non-expert </w:t>
      </w:r>
      <w:r w:rsidRPr="00C0755F">
        <w:t>witnesses at the hearing, taking up to</w:t>
      </w:r>
      <w:r w:rsidR="00177285">
        <w:t xml:space="preserve"> two</w:t>
      </w:r>
      <w:r w:rsidR="00F32081">
        <w:t xml:space="preserve"> </w:t>
      </w:r>
      <w:r w:rsidRPr="00C0755F">
        <w:t>(</w:t>
      </w:r>
      <w:r w:rsidR="00177285">
        <w:t>2</w:t>
      </w:r>
      <w:r w:rsidR="00F32081">
        <w:t>) deposition</w:t>
      </w:r>
      <w:r w:rsidR="00177285">
        <w:t>s</w:t>
      </w:r>
      <w:r w:rsidRPr="00C0755F">
        <w:t xml:space="preserve">, defending all </w:t>
      </w:r>
      <w:r w:rsidR="00F32081">
        <w:t xml:space="preserve">non-expert </w:t>
      </w:r>
      <w:r w:rsidRPr="00C0755F">
        <w:t xml:space="preserve">depositions, and attending two preliminary hearings if necessary.  Preliminary hearings are minor hearings such </w:t>
      </w:r>
      <w:r w:rsidRPr="00C0755F">
        <w:lastRenderedPageBreak/>
        <w:t>as motions to compel the production of discovery, motions for the appointment of experts, or motions for summary judgment (These preliminary hearings are hearings that extend for no more than a few hours).  Specifically, hearings relating to domestic violence protective orders, emergency child custody,</w:t>
      </w:r>
      <w:r w:rsidR="00177285">
        <w:t xml:space="preserve"> contempt, appointment of a guardian ad litem,</w:t>
      </w:r>
      <w:r w:rsidRPr="00C0755F">
        <w:t xml:space="preserve"> and enforcement of prior orders are not covered by the terms of this Agreement and representation in these matters will be the subject of a separate agreement in the event that this becomes necessary.  Additional matters which arise during the course of the representation, which are not covered by the terms of this Agreement, will be the subject of a separate agreement if such matters arise.  In the event that the Firm determines that it is necessary to take additional depositions or to call additional witnesses the fee per witness is $</w:t>
      </w:r>
      <w:r w:rsidR="008D271D">
        <w:t>1,000.00</w:t>
      </w:r>
      <w:r w:rsidR="008D271D" w:rsidRPr="00C0755F">
        <w:t xml:space="preserve"> </w:t>
      </w:r>
      <w:r w:rsidRPr="00C0755F">
        <w:t xml:space="preserve"> an</w:t>
      </w:r>
      <w:r w:rsidR="00F32081">
        <w:t>d the fee per deposition is $</w:t>
      </w:r>
      <w:r w:rsidR="008D271D">
        <w:t>1,500.00</w:t>
      </w:r>
      <w:r w:rsidR="008D271D" w:rsidRPr="00C0755F">
        <w:t xml:space="preserve"> </w:t>
      </w:r>
      <w:r w:rsidRPr="00C0755F">
        <w:t>. In the event that more than two preliminary hearings become necessary the fee per additional hearing is $</w:t>
      </w:r>
      <w:r w:rsidR="008D271D">
        <w:t>1,000.00</w:t>
      </w:r>
      <w:r w:rsidR="008D271D" w:rsidRPr="00C0755F">
        <w:t xml:space="preserve"> </w:t>
      </w:r>
      <w:r w:rsidRPr="00C0755F">
        <w:t>.  The fees for these services are to be paid to the firm prior to the initiation of the work required.</w:t>
      </w:r>
    </w:p>
    <w:p w14:paraId="0EB01AA7" w14:textId="77777777" w:rsidR="006131C2" w:rsidRPr="00C0755F" w:rsidRDefault="00CC1EF2" w:rsidP="006131C2">
      <w:pPr>
        <w:pStyle w:val="TRBody1"/>
      </w:pPr>
      <w:r w:rsidRPr="00C0755F">
        <w:rPr>
          <w:b/>
          <w:bCs/>
          <w:u w:val="single"/>
        </w:rPr>
        <w:t>Expenses</w:t>
      </w:r>
      <w:r w:rsidRPr="00C0755F">
        <w:t xml:space="preserve">.  </w:t>
      </w:r>
      <w:r w:rsidR="00E97BED" w:rsidRPr="00C0755F">
        <w:t xml:space="preserve">All expenses the Firm incurs or advances in connection with providing legal services will be billed separately.  All variable expenses will be billed according to the actual amount of the expense.  Examples of variable expenses are </w:t>
      </w:r>
      <w:r w:rsidR="00C7394A" w:rsidRPr="00C0755F">
        <w:t xml:space="preserve">filing fees for absolute divorce, </w:t>
      </w:r>
      <w:r w:rsidR="00E97BED" w:rsidRPr="00C0755F">
        <w:t xml:space="preserve">recording fees, filing fees, investigator fees etc.  Prior to the time that these expenses are incurred we require a deposit of funds into our trust account.  We will not incur these variable expenses until we receive this deposit.  This deposit will be applied toward these expenses.  These deposits </w:t>
      </w:r>
      <w:r w:rsidR="00F94BD7">
        <w:t xml:space="preserve">the </w:t>
      </w:r>
      <w:r w:rsidR="00F12F68">
        <w:t>Client</w:t>
      </w:r>
      <w:r w:rsidR="00E97BED" w:rsidRPr="00C0755F">
        <w:t xml:space="preserve"> maintain</w:t>
      </w:r>
      <w:r w:rsidR="00F12F68">
        <w:t>s</w:t>
      </w:r>
      <w:r w:rsidR="00E97BED" w:rsidRPr="00C0755F">
        <w:t xml:space="preserve"> with us will not bear interest.  </w:t>
      </w:r>
      <w:r w:rsidR="00F94BD7" w:rsidRPr="00F94BD7">
        <w:t xml:space="preserve">At the end of the representation, we will refund to </w:t>
      </w:r>
      <w:r w:rsidR="00F94BD7">
        <w:t>the Client</w:t>
      </w:r>
      <w:r w:rsidR="00F94BD7" w:rsidRPr="00F94BD7">
        <w:t xml:space="preserve"> any funds remaining in our trust account which are not needed to satisfy the balance of </w:t>
      </w:r>
      <w:r w:rsidR="00F94BD7">
        <w:t>the Client’s</w:t>
      </w:r>
      <w:r w:rsidR="00F94BD7" w:rsidRPr="00F94BD7">
        <w:t xml:space="preserve"> account with the firm, whic</w:t>
      </w:r>
      <w:r w:rsidR="00F94BD7">
        <w:t>h may include unpaid legal fees</w:t>
      </w:r>
      <w:r w:rsidR="00E97BED" w:rsidRPr="00C0755F">
        <w:t>.</w:t>
      </w:r>
      <w:r w:rsidR="00495130">
        <w:t xml:space="preserve">  Client specifically agrees that any deposit remaining in trust at the conclusion of the representation may be used to satisfy any unpaid legal fees.</w:t>
      </w:r>
    </w:p>
    <w:p w14:paraId="14FB1F69" w14:textId="77777777" w:rsidR="006131C2" w:rsidRPr="00C0755F" w:rsidRDefault="00CC1EF2" w:rsidP="006131C2">
      <w:pPr>
        <w:pStyle w:val="TRBody1"/>
      </w:pPr>
      <w:r w:rsidRPr="00C0755F">
        <w:rPr>
          <w:b/>
          <w:bCs/>
          <w:u w:val="single"/>
        </w:rPr>
        <w:t>Opposing Party and Attorney's Fees</w:t>
      </w:r>
      <w:r w:rsidRPr="00C0755F">
        <w:t xml:space="preserve">.  </w:t>
      </w:r>
      <w:r w:rsidR="00E97BED" w:rsidRPr="00C0755F">
        <w:t xml:space="preserve">Sometimes the Court will order </w:t>
      </w:r>
      <w:r w:rsidR="00F94BD7">
        <w:t xml:space="preserve">the </w:t>
      </w:r>
      <w:r w:rsidR="00F12F68">
        <w:t>Client’s</w:t>
      </w:r>
      <w:r w:rsidR="00E97BED" w:rsidRPr="00C0755F">
        <w:t xml:space="preserve"> adversary to pay part or all of </w:t>
      </w:r>
      <w:r w:rsidR="00F12F68">
        <w:t>Client’s</w:t>
      </w:r>
      <w:r w:rsidR="00E97BED" w:rsidRPr="00C0755F">
        <w:t xml:space="preserve"> attorney's fees and expenses, although sometimes the Court makes no order for fees and costs.  Amounts received pursuant to court order will be credited to </w:t>
      </w:r>
      <w:r w:rsidR="00F94BD7">
        <w:t xml:space="preserve">the </w:t>
      </w:r>
      <w:r w:rsidR="00F12F68">
        <w:t>Client’s</w:t>
      </w:r>
      <w:r w:rsidR="00E97BED" w:rsidRPr="00C0755F">
        <w:t xml:space="preserve"> account.  The court award of attorney's fees and expenses, if any, does not set or limit our fee in any way or </w:t>
      </w:r>
      <w:r w:rsidR="00F94BD7">
        <w:t xml:space="preserve">the </w:t>
      </w:r>
      <w:r w:rsidR="00F12F68">
        <w:t>Client’s</w:t>
      </w:r>
      <w:r w:rsidR="00E97BED" w:rsidRPr="00C0755F">
        <w:t xml:space="preserve"> liability to us for fees and expenses under this Agreement.  </w:t>
      </w:r>
    </w:p>
    <w:p w14:paraId="00F0AF1A" w14:textId="77777777" w:rsidR="006131C2" w:rsidRPr="00C0755F" w:rsidRDefault="00E97BED" w:rsidP="006131C2">
      <w:pPr>
        <w:pStyle w:val="TRBody1"/>
      </w:pPr>
      <w:r w:rsidRPr="00C0755F">
        <w:t xml:space="preserve">If the court awards attorney’s fees and expenses, but those amounts are unpaid by the opposing party, </w:t>
      </w:r>
      <w:r w:rsidR="00F94BD7">
        <w:t xml:space="preserve">the </w:t>
      </w:r>
      <w:r w:rsidR="00F12F68">
        <w:t>Client</w:t>
      </w:r>
      <w:r w:rsidRPr="00C0755F">
        <w:t xml:space="preserve"> may elect to have our firm pursue a collection action on </w:t>
      </w:r>
      <w:r w:rsidR="00F94BD7">
        <w:t xml:space="preserve">the </w:t>
      </w:r>
      <w:r w:rsidR="00F12F68">
        <w:t>Client’s</w:t>
      </w:r>
      <w:r w:rsidRPr="00C0755F">
        <w:t xml:space="preserve"> behalf.  Pursuit of a collection action, however, is an additional service requiring </w:t>
      </w:r>
      <w:r w:rsidR="00F94BD7">
        <w:t>the</w:t>
      </w:r>
      <w:r w:rsidRPr="00C0755F">
        <w:t xml:space="preserve"> </w:t>
      </w:r>
      <w:r w:rsidR="00F12F68">
        <w:t>Client</w:t>
      </w:r>
      <w:r w:rsidRPr="00C0755F">
        <w:t xml:space="preserve"> to execute a separate agreement to retain our services for that purpose.  In the event </w:t>
      </w:r>
      <w:r w:rsidR="00F94BD7">
        <w:t xml:space="preserve">the </w:t>
      </w:r>
      <w:r w:rsidR="00F12F68">
        <w:t>Client</w:t>
      </w:r>
      <w:r w:rsidRPr="00C0755F">
        <w:t xml:space="preserve"> discharge</w:t>
      </w:r>
      <w:r w:rsidR="00F12F68">
        <w:t>s</w:t>
      </w:r>
      <w:r w:rsidRPr="00C0755F">
        <w:t xml:space="preserve"> us as </w:t>
      </w:r>
      <w:r w:rsidR="00F94BD7">
        <w:t xml:space="preserve">the </w:t>
      </w:r>
      <w:r w:rsidR="00F12F68">
        <w:t>Client’s</w:t>
      </w:r>
      <w:r w:rsidRPr="00C0755F">
        <w:t xml:space="preserve"> attorneys at any time, or we withdraw as </w:t>
      </w:r>
      <w:r w:rsidR="00F94BD7">
        <w:t xml:space="preserve">the </w:t>
      </w:r>
      <w:r w:rsidR="002C1040">
        <w:t>Client’s</w:t>
      </w:r>
      <w:r w:rsidRPr="00C0755F">
        <w:t xml:space="preserve"> attorneys, we shall nevertheless have the authority to pursue the collection of attorney's fees and expenses awarded against the opposing party and any part thereof that is collected will be credited to </w:t>
      </w:r>
      <w:r w:rsidR="00F94BD7">
        <w:t xml:space="preserve">the </w:t>
      </w:r>
      <w:r w:rsidR="00F12F68">
        <w:t>Client’s</w:t>
      </w:r>
      <w:r w:rsidRPr="00C0755F">
        <w:t xml:space="preserve"> account.  Please understand, however, that </w:t>
      </w:r>
      <w:r w:rsidR="00F94BD7">
        <w:t xml:space="preserve">the </w:t>
      </w:r>
      <w:r w:rsidR="00135836">
        <w:t>Client is</w:t>
      </w:r>
      <w:r w:rsidRPr="00C0755F">
        <w:t xml:space="preserve"> at all times primarily liable to us for all attorney's fees and expenses and any pursuit thereof against the adverse party is on </w:t>
      </w:r>
      <w:r w:rsidR="00F94BD7">
        <w:t xml:space="preserve">the </w:t>
      </w:r>
      <w:r w:rsidR="00F12F68">
        <w:t>Client’s</w:t>
      </w:r>
      <w:r w:rsidRPr="00C0755F">
        <w:t xml:space="preserve"> behalf</w:t>
      </w:r>
      <w:r w:rsidR="00BE25A6">
        <w:t xml:space="preserve">, and at </w:t>
      </w:r>
      <w:r w:rsidR="00F12F68">
        <w:t>Client’s</w:t>
      </w:r>
      <w:r w:rsidR="00BE25A6">
        <w:t xml:space="preserve"> discretion,</w:t>
      </w:r>
      <w:r w:rsidRPr="00C0755F">
        <w:t xml:space="preserve"> as an additional service to </w:t>
      </w:r>
      <w:r w:rsidR="00F12F68">
        <w:t>Client</w:t>
      </w:r>
      <w:r w:rsidRPr="00C0755F">
        <w:t>.</w:t>
      </w:r>
    </w:p>
    <w:p w14:paraId="2C7A3583" w14:textId="77777777" w:rsidR="006131C2" w:rsidRPr="00C0755F" w:rsidRDefault="00CC1EF2" w:rsidP="006131C2">
      <w:pPr>
        <w:pStyle w:val="TRBody1"/>
      </w:pPr>
      <w:r w:rsidRPr="00C0755F">
        <w:rPr>
          <w:b/>
          <w:bCs/>
          <w:u w:val="single"/>
        </w:rPr>
        <w:t>Billing Frequency and Late Charges</w:t>
      </w:r>
      <w:r w:rsidRPr="00C0755F">
        <w:t xml:space="preserve">.  </w:t>
      </w:r>
      <w:r w:rsidR="00F94BD7">
        <w:t xml:space="preserve">The </w:t>
      </w:r>
      <w:r w:rsidR="00F12F68">
        <w:t>Client</w:t>
      </w:r>
      <w:r w:rsidR="00E97BED" w:rsidRPr="00C0755F">
        <w:t xml:space="preserve"> understand</w:t>
      </w:r>
      <w:r w:rsidR="00F12F68">
        <w:t>s</w:t>
      </w:r>
      <w:r w:rsidR="00E97BED" w:rsidRPr="00C0755F">
        <w:t xml:space="preserve"> that all bills are due when received by the Client.  If a bill has not been paid in full prior to the expiration of a 30-day period from the date on the bill, a late charge of one-and-one-half percent per month will be imposed on the balance.</w:t>
      </w:r>
    </w:p>
    <w:p w14:paraId="6763BDDA" w14:textId="77777777" w:rsidR="003B1DD5" w:rsidRDefault="00CC1EF2" w:rsidP="003B1DD5">
      <w:pPr>
        <w:pStyle w:val="TRBody1"/>
      </w:pPr>
      <w:r w:rsidRPr="00C0755F">
        <w:rPr>
          <w:b/>
          <w:bCs/>
          <w:u w:val="single"/>
        </w:rPr>
        <w:lastRenderedPageBreak/>
        <w:t>Personnel</w:t>
      </w:r>
      <w:r w:rsidRPr="00C0755F">
        <w:t xml:space="preserve">.  </w:t>
      </w:r>
      <w:r w:rsidR="000E5D0A" w:rsidRPr="000E5D0A">
        <w:t xml:space="preserve">The Client acknowledges that he or she is employing the Firm instead of any particular individual, and that the Firm will assemble the team of </w:t>
      </w:r>
      <w:r w:rsidR="00BE25A6">
        <w:t xml:space="preserve">nonattorney </w:t>
      </w:r>
      <w:r w:rsidR="000E5D0A" w:rsidRPr="000E5D0A">
        <w:t xml:space="preserve">professionals best suited to each Client to serve the Client's specific needs and requirements at each stage of the Representation.  Sometimes our professionals will reside outside of the United States and </w:t>
      </w:r>
      <w:r w:rsidR="00F94BD7">
        <w:t xml:space="preserve">the </w:t>
      </w:r>
      <w:r w:rsidR="000E5D0A" w:rsidRPr="000E5D0A">
        <w:t xml:space="preserve">Client specifically consents to the use of these professionals. The Client further acknowledges that the attorney with primary responsibility for this matter may not be the one with whom </w:t>
      </w:r>
      <w:r w:rsidR="00F94BD7">
        <w:t xml:space="preserve">the </w:t>
      </w:r>
      <w:r w:rsidR="000E5D0A" w:rsidRPr="000E5D0A">
        <w:t xml:space="preserve">Client met </w:t>
      </w:r>
      <w:r w:rsidR="000E5D0A">
        <w:t>during the initial consultation</w:t>
      </w:r>
      <w:r w:rsidR="00E97BED" w:rsidRPr="00C0755F">
        <w:t xml:space="preserve">. </w:t>
      </w:r>
    </w:p>
    <w:p w14:paraId="787742AD" w14:textId="77777777" w:rsidR="003B1DD5" w:rsidRPr="00C0755F" w:rsidRDefault="003B1DD5" w:rsidP="003B1DD5">
      <w:pPr>
        <w:pStyle w:val="TRBody1"/>
      </w:pPr>
      <w:r w:rsidRPr="003B1DD5">
        <w:rPr>
          <w:b/>
          <w:u w:val="single"/>
        </w:rPr>
        <w:t>Electronic Communications</w:t>
      </w:r>
      <w:r>
        <w:t>. Communication via email, voice and other electronic communication accounts or devices belonging to an employer or other third parties are not protected by the attorney-client privilege. Please communicate with the Firm by personal email, telephone, and messaging accounts and devices under Client's control. Also, be aware that forwarding any communications from the Firm to a third party may jeopardize attorney-client privilege and is discouraged.</w:t>
      </w:r>
    </w:p>
    <w:p w14:paraId="1245CD5A" w14:textId="77777777" w:rsidR="006131C2" w:rsidRPr="00C0755F" w:rsidRDefault="00CC1EF2" w:rsidP="006131C2">
      <w:pPr>
        <w:pStyle w:val="TRBody1"/>
      </w:pPr>
      <w:r w:rsidRPr="00C0755F">
        <w:rPr>
          <w:b/>
          <w:bCs/>
          <w:u w:val="single"/>
        </w:rPr>
        <w:t>Termination of Services</w:t>
      </w:r>
      <w:r w:rsidRPr="00C0755F">
        <w:t xml:space="preserve">.  </w:t>
      </w:r>
      <w:r w:rsidR="00F94BD7">
        <w:t xml:space="preserve">The </w:t>
      </w:r>
      <w:r w:rsidR="00073704">
        <w:t>Client</w:t>
      </w:r>
      <w:r w:rsidR="00E97BED" w:rsidRPr="00C0755F">
        <w:t xml:space="preserve"> may terminate our representation of </w:t>
      </w:r>
      <w:r w:rsidR="00F94BD7">
        <w:t xml:space="preserve">the </w:t>
      </w:r>
      <w:r w:rsidR="00073704">
        <w:t>Client</w:t>
      </w:r>
      <w:r w:rsidR="00E97BED" w:rsidRPr="00C0755F">
        <w:t xml:space="preserve"> at any time.  Any termination of our representation of </w:t>
      </w:r>
      <w:r w:rsidR="00F94BD7">
        <w:t xml:space="preserve">the </w:t>
      </w:r>
      <w:r w:rsidR="00073704">
        <w:t>Client</w:t>
      </w:r>
      <w:r w:rsidR="00E97BED" w:rsidRPr="00C0755F">
        <w:t xml:space="preserve"> does not relieve </w:t>
      </w:r>
      <w:r w:rsidR="00F94BD7">
        <w:t xml:space="preserve">the </w:t>
      </w:r>
      <w:r w:rsidR="00F12F68">
        <w:t>Client</w:t>
      </w:r>
      <w:r w:rsidR="00E97BED" w:rsidRPr="00C0755F">
        <w:t xml:space="preserve"> of the obligation to pay any amounts owed to us for expenses incurred through the date of termination.</w:t>
      </w:r>
    </w:p>
    <w:p w14:paraId="1AE3BBC1" w14:textId="77777777" w:rsidR="006131C2" w:rsidRPr="00C0755F" w:rsidRDefault="00E97BED" w:rsidP="006131C2">
      <w:pPr>
        <w:pStyle w:val="TRBody1"/>
      </w:pPr>
      <w:r w:rsidRPr="00C0755F">
        <w:t xml:space="preserve">We may terminate our representation of </w:t>
      </w:r>
      <w:r w:rsidR="00F94BD7">
        <w:t xml:space="preserve">the </w:t>
      </w:r>
      <w:r w:rsidR="00073704">
        <w:t>Client</w:t>
      </w:r>
      <w:r w:rsidRPr="00C0755F">
        <w:t>, retain</w:t>
      </w:r>
      <w:r w:rsidR="00F94BD7">
        <w:t xml:space="preserve"> the</w:t>
      </w:r>
      <w:r w:rsidRPr="00C0755F">
        <w:t xml:space="preserve"> </w:t>
      </w:r>
      <w:r w:rsidR="00073704">
        <w:t>Client’s</w:t>
      </w:r>
      <w:r w:rsidRPr="00C0755F">
        <w:t xml:space="preserve"> previous </w:t>
      </w:r>
      <w:r w:rsidR="00A36A5A">
        <w:t xml:space="preserve">earned </w:t>
      </w:r>
      <w:r w:rsidRPr="00C0755F">
        <w:t xml:space="preserve">payments and withdraw as </w:t>
      </w:r>
      <w:r w:rsidR="00F94BD7">
        <w:t xml:space="preserve">the </w:t>
      </w:r>
      <w:r w:rsidR="00073704">
        <w:t>Client’s</w:t>
      </w:r>
      <w:r w:rsidRPr="00C0755F">
        <w:t xml:space="preserve"> counsel, if:</w:t>
      </w:r>
    </w:p>
    <w:p w14:paraId="2DA6AE96" w14:textId="77777777" w:rsidR="00E97BED" w:rsidRPr="00C0755F" w:rsidRDefault="00CC1EF2" w:rsidP="006131C2">
      <w:pPr>
        <w:pStyle w:val="TRArt2"/>
      </w:pPr>
      <w:r w:rsidRPr="00C0755F">
        <w:t xml:space="preserve"> </w:t>
      </w:r>
      <w:r w:rsidR="00E97BED" w:rsidRPr="00C0755F">
        <w:t>The subject of the representation is concluded by execution of a Court order or judgment or written agreement between the parties;</w:t>
      </w:r>
    </w:p>
    <w:p w14:paraId="6E84714D" w14:textId="77777777" w:rsidR="00E97BED" w:rsidRPr="00C0755F" w:rsidRDefault="00E97BED" w:rsidP="006131C2">
      <w:pPr>
        <w:pStyle w:val="TRArt2"/>
      </w:pPr>
      <w:r w:rsidRPr="00C0755F">
        <w:t>We discover any conflict of interest;</w:t>
      </w:r>
    </w:p>
    <w:p w14:paraId="69FB9BBE" w14:textId="77777777" w:rsidR="00E97BED" w:rsidRPr="00C0755F" w:rsidRDefault="00F94BD7" w:rsidP="006131C2">
      <w:pPr>
        <w:pStyle w:val="TRArt2"/>
      </w:pPr>
      <w:r>
        <w:t xml:space="preserve">The </w:t>
      </w:r>
      <w:r w:rsidR="00073704">
        <w:t>Client</w:t>
      </w:r>
      <w:r w:rsidR="00E97BED" w:rsidRPr="00C0755F">
        <w:t xml:space="preserve"> fail</w:t>
      </w:r>
      <w:r>
        <w:t>s</w:t>
      </w:r>
      <w:r w:rsidR="00E97BED" w:rsidRPr="00C0755F">
        <w:t xml:space="preserve"> to pay immediately when due any amounts required to be paid under this Agreement;</w:t>
      </w:r>
    </w:p>
    <w:p w14:paraId="7492C321" w14:textId="77777777" w:rsidR="00E97BED" w:rsidRPr="00C0755F" w:rsidRDefault="00E97BED" w:rsidP="006131C2">
      <w:pPr>
        <w:pStyle w:val="TRArt2"/>
      </w:pPr>
      <w:r w:rsidRPr="00C0755F">
        <w:t xml:space="preserve">We discover that </w:t>
      </w:r>
      <w:r w:rsidR="00F94BD7">
        <w:t xml:space="preserve">the </w:t>
      </w:r>
      <w:r w:rsidR="00F12F68">
        <w:t>Client has</w:t>
      </w:r>
      <w:r w:rsidRPr="00C0755F">
        <w:t xml:space="preserve"> made any misrepresentation in connection with the matter that we are handling for </w:t>
      </w:r>
      <w:r w:rsidR="00F94BD7">
        <w:t xml:space="preserve">the </w:t>
      </w:r>
      <w:r w:rsidR="00073704">
        <w:t>Client</w:t>
      </w:r>
      <w:r w:rsidRPr="00C0755F">
        <w:t xml:space="preserve">, or we discover any material variance between the facts as related to us by </w:t>
      </w:r>
      <w:r w:rsidR="00F94BD7">
        <w:t xml:space="preserve">the </w:t>
      </w:r>
      <w:r w:rsidR="00073704">
        <w:t>Client</w:t>
      </w:r>
      <w:r w:rsidRPr="00C0755F">
        <w:t xml:space="preserve"> and the facts as they actually exist;</w:t>
      </w:r>
    </w:p>
    <w:p w14:paraId="3D54B389" w14:textId="77777777" w:rsidR="00E97BED" w:rsidRPr="00C0755F" w:rsidRDefault="00F94BD7" w:rsidP="006131C2">
      <w:pPr>
        <w:pStyle w:val="TRArt2"/>
      </w:pPr>
      <w:r>
        <w:t xml:space="preserve">The </w:t>
      </w:r>
      <w:r w:rsidR="00073704">
        <w:t>Client</w:t>
      </w:r>
      <w:r w:rsidR="00E97BED" w:rsidRPr="00C0755F">
        <w:t xml:space="preserve"> act</w:t>
      </w:r>
      <w:r w:rsidR="00073704">
        <w:t>s</w:t>
      </w:r>
      <w:r w:rsidR="00E97BED" w:rsidRPr="00C0755F">
        <w:t xml:space="preserve"> in such a manner as to abuse the attorney/client relationship to such an extent that, in the discretion of the Firm, </w:t>
      </w:r>
      <w:r w:rsidR="00A36A5A">
        <w:t xml:space="preserve">the </w:t>
      </w:r>
      <w:r w:rsidR="00073704">
        <w:t>Client is</w:t>
      </w:r>
      <w:r w:rsidR="00E97BED" w:rsidRPr="00C0755F">
        <w:t xml:space="preserve"> no longer someone whom the Firm is willing to represent;</w:t>
      </w:r>
    </w:p>
    <w:p w14:paraId="757873FF" w14:textId="77777777" w:rsidR="00E97BED" w:rsidRPr="00C0755F" w:rsidRDefault="00F94BD7" w:rsidP="006131C2">
      <w:pPr>
        <w:pStyle w:val="TRArt2"/>
      </w:pPr>
      <w:r>
        <w:t xml:space="preserve">The </w:t>
      </w:r>
      <w:r w:rsidR="00073704">
        <w:t>Client</w:t>
      </w:r>
      <w:r w:rsidR="00E97BED" w:rsidRPr="00C0755F">
        <w:t xml:space="preserve"> fail</w:t>
      </w:r>
      <w:r w:rsidR="00073704">
        <w:t>s</w:t>
      </w:r>
      <w:r w:rsidR="00E97BED" w:rsidRPr="00C0755F">
        <w:t xml:space="preserve"> to heed our advice or recommendations or otherwise do</w:t>
      </w:r>
      <w:r w:rsidR="00073704">
        <w:t>es</w:t>
      </w:r>
      <w:r w:rsidR="00E97BED" w:rsidRPr="00C0755F">
        <w:t xml:space="preserve"> not cooperate with us in our representation of </w:t>
      </w:r>
      <w:r>
        <w:t xml:space="preserve">the </w:t>
      </w:r>
      <w:r w:rsidR="00073704">
        <w:t>Client</w:t>
      </w:r>
      <w:r w:rsidR="00E97BED" w:rsidRPr="00C0755F">
        <w:t>; or,</w:t>
      </w:r>
    </w:p>
    <w:p w14:paraId="2906E6B0" w14:textId="77777777" w:rsidR="00CC1EF2" w:rsidRPr="00C0755F" w:rsidRDefault="00E97BED" w:rsidP="006131C2">
      <w:pPr>
        <w:pStyle w:val="TRArt2"/>
      </w:pPr>
      <w:r w:rsidRPr="00C0755F">
        <w:t xml:space="preserve">We have a disagreement over what legal matters the Firm is supposed to be handling for </w:t>
      </w:r>
      <w:r w:rsidR="00F94BD7">
        <w:t xml:space="preserve">the </w:t>
      </w:r>
      <w:r w:rsidR="00073704">
        <w:t>Client</w:t>
      </w:r>
      <w:r w:rsidRPr="00C0755F">
        <w:t>.</w:t>
      </w:r>
    </w:p>
    <w:p w14:paraId="08CCBAE4" w14:textId="77777777" w:rsidR="00A11873" w:rsidRPr="00C0755F" w:rsidRDefault="00F94BD7" w:rsidP="00A11873">
      <w:pPr>
        <w:pStyle w:val="TRBody1"/>
      </w:pPr>
      <w:r>
        <w:t xml:space="preserve">The </w:t>
      </w:r>
      <w:r w:rsidR="00E97BED" w:rsidRPr="00C0755F">
        <w:t xml:space="preserve">Client grants the Firm the authority to represent </w:t>
      </w:r>
      <w:r>
        <w:t xml:space="preserve">the </w:t>
      </w:r>
      <w:r w:rsidR="00E97BED" w:rsidRPr="00C0755F">
        <w:t xml:space="preserve">Client in the above matters and to enter appearances on behalf of </w:t>
      </w:r>
      <w:r>
        <w:t xml:space="preserve">the </w:t>
      </w:r>
      <w:r w:rsidR="00E97BED" w:rsidRPr="00C0755F">
        <w:t xml:space="preserve">Client in any court. </w:t>
      </w:r>
    </w:p>
    <w:p w14:paraId="312A8536" w14:textId="77777777" w:rsidR="00CC1EF2" w:rsidRPr="00C0755F" w:rsidRDefault="00CC1EF2" w:rsidP="00A11873">
      <w:pPr>
        <w:pStyle w:val="TRBody1"/>
      </w:pPr>
      <w:r w:rsidRPr="00C0755F">
        <w:rPr>
          <w:b/>
          <w:bCs/>
          <w:u w:val="single"/>
        </w:rPr>
        <w:t>Miscellaneous Terms</w:t>
      </w:r>
      <w:r w:rsidRPr="00C0755F">
        <w:t xml:space="preserve">.  </w:t>
      </w:r>
      <w:r w:rsidR="00E97BED" w:rsidRPr="00C0755F">
        <w:t>We dislike being technical with our clients, but we must include the following clauses.  If you have questions regarding these provisions, please ask.</w:t>
      </w:r>
    </w:p>
    <w:p w14:paraId="47452DED" w14:textId="77777777" w:rsidR="00E97BED" w:rsidRPr="00C0755F" w:rsidRDefault="00E97BED" w:rsidP="007474DD">
      <w:pPr>
        <w:pStyle w:val="TRArt2"/>
        <w:numPr>
          <w:ilvl w:val="1"/>
          <w:numId w:val="19"/>
        </w:numPr>
      </w:pPr>
      <w:r w:rsidRPr="00C0755F">
        <w:lastRenderedPageBreak/>
        <w:t>Each provision of this agreement is severable.  The invalidity or unenforceability of any provision paragraph, subparagraph, sentence, clause, phrase or term of this agreement shall not affect or impair the validity or enforceability of any other provision, paragraph, subparagraph, sentence, clause, phrase or term of this agreement.</w:t>
      </w:r>
    </w:p>
    <w:p w14:paraId="43FFB79C" w14:textId="77777777" w:rsidR="00E97BED" w:rsidRPr="00C0755F" w:rsidRDefault="00E97BED" w:rsidP="00D14A23">
      <w:pPr>
        <w:pStyle w:val="TRArt2"/>
      </w:pPr>
      <w:r w:rsidRPr="00C0755F">
        <w:t xml:space="preserve">By signing below, </w:t>
      </w:r>
      <w:r w:rsidR="00F94BD7">
        <w:t xml:space="preserve">the </w:t>
      </w:r>
      <w:r w:rsidR="00073704">
        <w:t>Client</w:t>
      </w:r>
      <w:r w:rsidRPr="00C0755F">
        <w:t xml:space="preserve"> indicate</w:t>
      </w:r>
      <w:r w:rsidR="00073704">
        <w:t>s an</w:t>
      </w:r>
      <w:r w:rsidRPr="00C0755F">
        <w:t xml:space="preserve"> understanding that we have not made an agreement with </w:t>
      </w:r>
      <w:r w:rsidR="00F94BD7">
        <w:t xml:space="preserve">the </w:t>
      </w:r>
      <w:r w:rsidR="00073704">
        <w:t>Client</w:t>
      </w:r>
      <w:r w:rsidRPr="00C0755F">
        <w:t xml:space="preserve"> or promises to </w:t>
      </w:r>
      <w:r w:rsidR="00F94BD7">
        <w:t xml:space="preserve">the </w:t>
      </w:r>
      <w:r w:rsidR="00073704">
        <w:t>Client</w:t>
      </w:r>
      <w:r w:rsidRPr="00C0755F">
        <w:t xml:space="preserve"> about the outcome or result of </w:t>
      </w:r>
      <w:r w:rsidR="00F94BD7">
        <w:t xml:space="preserve">the </w:t>
      </w:r>
      <w:r w:rsidR="00F12F68">
        <w:t>Client’s</w:t>
      </w:r>
      <w:r w:rsidRPr="00C0755F">
        <w:t xml:space="preserve"> legal matters.  Also, </w:t>
      </w:r>
      <w:r w:rsidR="00F94BD7">
        <w:t xml:space="preserve">the </w:t>
      </w:r>
      <w:r w:rsidR="00F12F68">
        <w:t>Client</w:t>
      </w:r>
      <w:r w:rsidRPr="00C0755F">
        <w:t xml:space="preserve"> agree</w:t>
      </w:r>
      <w:r w:rsidR="00F12F68">
        <w:t>s</w:t>
      </w:r>
      <w:r w:rsidRPr="00C0755F">
        <w:t xml:space="preserve"> to notify us immediately in writing if </w:t>
      </w:r>
      <w:r w:rsidR="00F94BD7">
        <w:t xml:space="preserve">the </w:t>
      </w:r>
      <w:r w:rsidR="00F12F68">
        <w:t>Client</w:t>
      </w:r>
      <w:r w:rsidRPr="00C0755F">
        <w:t xml:space="preserve"> feel</w:t>
      </w:r>
      <w:r w:rsidR="00F12F68">
        <w:t>s</w:t>
      </w:r>
      <w:r w:rsidRPr="00C0755F">
        <w:t xml:space="preserve"> or believe</w:t>
      </w:r>
      <w:r w:rsidR="00F12F68">
        <w:t>s</w:t>
      </w:r>
      <w:r w:rsidRPr="00C0755F">
        <w:t xml:space="preserve"> any matter is not receiving proper attention or is otherwise not being properly handled or </w:t>
      </w:r>
      <w:r w:rsidR="00F94BD7">
        <w:t xml:space="preserve">the </w:t>
      </w:r>
      <w:r w:rsidR="00F12F68">
        <w:t>Client</w:t>
      </w:r>
      <w:r w:rsidRPr="00C0755F">
        <w:t xml:space="preserve"> suspect</w:t>
      </w:r>
      <w:r w:rsidR="00F12F68">
        <w:t>s</w:t>
      </w:r>
      <w:r w:rsidRPr="00C0755F">
        <w:t xml:space="preserve"> any misunderstanding</w:t>
      </w:r>
      <w:r w:rsidR="00F12F68">
        <w:t xml:space="preserve"> about what we are to do for </w:t>
      </w:r>
      <w:r w:rsidR="00F94BD7">
        <w:t xml:space="preserve">the </w:t>
      </w:r>
      <w:r w:rsidR="00F12F68">
        <w:t>Client</w:t>
      </w:r>
      <w:r w:rsidRPr="00C0755F">
        <w:t>.</w:t>
      </w:r>
    </w:p>
    <w:p w14:paraId="4433C5B2" w14:textId="77777777" w:rsidR="00E97BED" w:rsidRPr="00C0755F" w:rsidRDefault="00E97BED" w:rsidP="00D14A23">
      <w:pPr>
        <w:pStyle w:val="TRArt2"/>
      </w:pPr>
      <w:r w:rsidRPr="00C0755F">
        <w:t xml:space="preserve">By signing below, </w:t>
      </w:r>
      <w:r w:rsidR="00F94BD7">
        <w:t xml:space="preserve">the </w:t>
      </w:r>
      <w:r w:rsidR="00F12F68">
        <w:t>Client</w:t>
      </w:r>
      <w:r w:rsidRPr="00C0755F">
        <w:t xml:space="preserve"> agree</w:t>
      </w:r>
      <w:r w:rsidR="00F12F68">
        <w:t>s</w:t>
      </w:r>
      <w:r w:rsidRPr="00C0755F">
        <w:t xml:space="preserve"> that this agreement has been thoroughly explained to </w:t>
      </w:r>
      <w:r w:rsidR="00F94BD7">
        <w:t xml:space="preserve">the </w:t>
      </w:r>
      <w:r w:rsidR="00F12F68">
        <w:t>Client</w:t>
      </w:r>
      <w:r w:rsidRPr="00C0755F">
        <w:t xml:space="preserve"> and reviewed by </w:t>
      </w:r>
      <w:r w:rsidR="00F94BD7">
        <w:t xml:space="preserve">the </w:t>
      </w:r>
      <w:r w:rsidR="00F12F68">
        <w:t>Client</w:t>
      </w:r>
      <w:r w:rsidRPr="00C0755F">
        <w:t xml:space="preserve"> before </w:t>
      </w:r>
      <w:r w:rsidR="00F94BD7">
        <w:t xml:space="preserve">the </w:t>
      </w:r>
      <w:r w:rsidR="00F12F68">
        <w:t>Client</w:t>
      </w:r>
      <w:r w:rsidRPr="00C0755F">
        <w:t xml:space="preserve"> sign</w:t>
      </w:r>
      <w:r w:rsidR="00F12F68">
        <w:t>s</w:t>
      </w:r>
      <w:r w:rsidRPr="00C0755F">
        <w:t xml:space="preserve"> it, or that </w:t>
      </w:r>
      <w:r w:rsidR="00F94BD7">
        <w:t xml:space="preserve">the </w:t>
      </w:r>
      <w:r w:rsidR="00F12F68">
        <w:t>Client</w:t>
      </w:r>
      <w:r w:rsidRPr="00C0755F">
        <w:t xml:space="preserve"> had an ample opportunity to review it and have it fully explained to </w:t>
      </w:r>
      <w:r w:rsidR="00F94BD7">
        <w:t xml:space="preserve">the </w:t>
      </w:r>
      <w:r w:rsidR="00F12F68">
        <w:t>Client</w:t>
      </w:r>
      <w:r w:rsidRPr="00C0755F">
        <w:t xml:space="preserve">. </w:t>
      </w:r>
    </w:p>
    <w:p w14:paraId="11341855" w14:textId="77777777" w:rsidR="00E97BED" w:rsidRPr="00C0755F" w:rsidRDefault="00F94BD7" w:rsidP="00D14A23">
      <w:pPr>
        <w:pStyle w:val="TRArt2"/>
      </w:pPr>
      <w:r w:rsidRPr="00F94BD7">
        <w:t>If</w:t>
      </w:r>
      <w:r>
        <w:t xml:space="preserve"> the</w:t>
      </w:r>
      <w:r w:rsidRPr="00F94BD7">
        <w:t xml:space="preserve"> </w:t>
      </w:r>
      <w:r>
        <w:t>Client</w:t>
      </w:r>
      <w:r w:rsidRPr="00F94BD7">
        <w:t xml:space="preserve"> fail</w:t>
      </w:r>
      <w:r>
        <w:t>s</w:t>
      </w:r>
      <w:r w:rsidRPr="00F94BD7">
        <w:t xml:space="preserve"> to pay the amounts due to us under this agreement, </w:t>
      </w:r>
      <w:r>
        <w:t>the Client</w:t>
      </w:r>
      <w:r w:rsidRPr="00F94BD7">
        <w:t xml:space="preserve"> agree</w:t>
      </w:r>
      <w:r>
        <w:t>s</w:t>
      </w:r>
      <w:r w:rsidRPr="00F94BD7">
        <w:t xml:space="preserve"> to pay all reasonable attorney's fees and other expenses incurred by us in collecting the amounts due, excluding any fees associated with the State Bar’s fee dispute resolution program, should </w:t>
      </w:r>
      <w:r>
        <w:t xml:space="preserve">the </w:t>
      </w:r>
      <w:r w:rsidRPr="00F94BD7">
        <w:t>Client elect</w:t>
      </w:r>
      <w:r>
        <w:t xml:space="preserve"> to participate in that program</w:t>
      </w:r>
      <w:r w:rsidR="00E97BED" w:rsidRPr="00C0755F">
        <w:t>.</w:t>
      </w:r>
    </w:p>
    <w:p w14:paraId="1696201E" w14:textId="77777777" w:rsidR="00E97BED" w:rsidRPr="00C0755F" w:rsidRDefault="00E97BED" w:rsidP="00D14A23">
      <w:pPr>
        <w:pStyle w:val="TRArt2"/>
      </w:pPr>
      <w:r w:rsidRPr="00C0755F">
        <w:t xml:space="preserve">After completing the work for </w:t>
      </w:r>
      <w:r w:rsidR="00F94BD7">
        <w:t xml:space="preserve">the </w:t>
      </w:r>
      <w:r w:rsidR="00BF744E">
        <w:t>Client</w:t>
      </w:r>
      <w:r w:rsidRPr="00C0755F">
        <w:t xml:space="preserve">, we will dispose of everything in the file after mailing </w:t>
      </w:r>
      <w:r w:rsidR="00F94BD7">
        <w:t>the</w:t>
      </w:r>
      <w:r w:rsidRPr="00C0755F">
        <w:t xml:space="preserve"> original </w:t>
      </w:r>
      <w:r w:rsidR="00F94BD7">
        <w:t xml:space="preserve">file and </w:t>
      </w:r>
      <w:r w:rsidRPr="00C0755F">
        <w:t xml:space="preserve">material back to </w:t>
      </w:r>
      <w:r w:rsidR="00F94BD7">
        <w:t xml:space="preserve">the </w:t>
      </w:r>
      <w:r w:rsidR="00BF744E">
        <w:t>Client</w:t>
      </w:r>
      <w:r w:rsidRPr="00C0755F">
        <w:t>. We will maintain digital copies of all documents on our computer system for at least three years after the matter is finished.</w:t>
      </w:r>
    </w:p>
    <w:p w14:paraId="185ACAF6" w14:textId="77777777" w:rsidR="00D14A23" w:rsidRPr="00C0755F" w:rsidRDefault="00E97BED" w:rsidP="00D14A23">
      <w:pPr>
        <w:pStyle w:val="TRArt2"/>
      </w:pPr>
      <w:r w:rsidRPr="00C0755F">
        <w:t>If any funds of</w:t>
      </w:r>
      <w:r w:rsidR="00F94BD7">
        <w:t xml:space="preserve"> the</w:t>
      </w:r>
      <w:r w:rsidRPr="00C0755F">
        <w:t xml:space="preserve"> </w:t>
      </w:r>
      <w:r w:rsidR="00BF744E">
        <w:t>Client’s</w:t>
      </w:r>
      <w:r w:rsidRPr="00C0755F">
        <w:t xml:space="preserve"> are in our possession at any time, we may deduct from those funds and pay to ourselves any unpaid amounts we have billed </w:t>
      </w:r>
      <w:r w:rsidR="00F94BD7">
        <w:t xml:space="preserve">the </w:t>
      </w:r>
      <w:r w:rsidR="00BF744E">
        <w:t>Client</w:t>
      </w:r>
      <w:r w:rsidR="009D5CF8">
        <w:t xml:space="preserve"> unless the fees are disputed</w:t>
      </w:r>
      <w:r w:rsidRPr="00C0755F">
        <w:t>.</w:t>
      </w:r>
    </w:p>
    <w:p w14:paraId="6E28EB59" w14:textId="77777777" w:rsidR="00E02134" w:rsidRPr="00C0755F" w:rsidRDefault="00CC1EF2" w:rsidP="00E02134">
      <w:pPr>
        <w:pStyle w:val="TRBody1"/>
      </w:pPr>
      <w:r w:rsidRPr="00C0755F">
        <w:rPr>
          <w:b/>
          <w:bCs/>
          <w:u w:val="single"/>
        </w:rPr>
        <w:t>Communication</w:t>
      </w:r>
      <w:r w:rsidRPr="00C0755F">
        <w:t xml:space="preserve">.  </w:t>
      </w:r>
      <w:r w:rsidR="0003696C" w:rsidRPr="00C0755F">
        <w:t xml:space="preserve">We encourage </w:t>
      </w:r>
      <w:r w:rsidR="00F94BD7">
        <w:t xml:space="preserve">the </w:t>
      </w:r>
      <w:r w:rsidR="00BF744E">
        <w:t>Client</w:t>
      </w:r>
      <w:r w:rsidR="0003696C" w:rsidRPr="00C0755F">
        <w:t xml:space="preserve"> to ask immediately any questions about our charges or services.  We promise to provide prompt, accurate answers.  We expect</w:t>
      </w:r>
      <w:r w:rsidR="00F94BD7">
        <w:t xml:space="preserve"> the</w:t>
      </w:r>
      <w:r w:rsidR="0003696C" w:rsidRPr="00C0755F">
        <w:t xml:space="preserve"> </w:t>
      </w:r>
      <w:r w:rsidR="00BF744E">
        <w:t>Client</w:t>
      </w:r>
      <w:r w:rsidR="0003696C" w:rsidRPr="00C0755F">
        <w:t xml:space="preserve"> to inform us of any complaints about any bill immediately after it is sent to </w:t>
      </w:r>
      <w:r w:rsidR="00F94BD7">
        <w:t xml:space="preserve">the </w:t>
      </w:r>
      <w:r w:rsidR="00BF744E">
        <w:t>Client</w:t>
      </w:r>
      <w:r w:rsidR="0003696C" w:rsidRPr="00C0755F">
        <w:t>.</w:t>
      </w:r>
    </w:p>
    <w:p w14:paraId="32D9A713" w14:textId="77777777" w:rsidR="000E5D0A" w:rsidRDefault="000E5D0A" w:rsidP="000E5D0A">
      <w:pPr>
        <w:pStyle w:val="TRBody1"/>
      </w:pPr>
      <w:r w:rsidRPr="00C0755F">
        <w:t xml:space="preserve">The firm recognizes that our clients are our most valuable resource.  We care deeply about </w:t>
      </w:r>
      <w:r w:rsidR="00F94BD7">
        <w:t xml:space="preserve">the </w:t>
      </w:r>
      <w:r w:rsidR="00450F7F">
        <w:t>Client’s</w:t>
      </w:r>
      <w:r w:rsidRPr="00C0755F">
        <w:t xml:space="preserve"> satisfaction with our work.  In an effort to ensure that </w:t>
      </w:r>
      <w:r w:rsidR="00F94BD7">
        <w:t xml:space="preserve">the </w:t>
      </w:r>
      <w:r w:rsidR="00450F7F">
        <w:t>Client receives</w:t>
      </w:r>
      <w:r w:rsidRPr="00C0755F">
        <w:t xml:space="preserve"> the personalized service you deserve, we will send you surveys regarding the quality of our work and our personnel.  We ask your cooperation in completing these surveys.  By signing this agreement you indicate you understand and agree to complete those surveys so we can maintain our highest level of service to you, our client.</w:t>
      </w:r>
    </w:p>
    <w:p w14:paraId="62EB538D" w14:textId="77777777" w:rsidR="00E02134" w:rsidRPr="00C0755F" w:rsidRDefault="0003696C" w:rsidP="00E02134">
      <w:pPr>
        <w:pStyle w:val="TRBody1"/>
      </w:pPr>
      <w:r w:rsidRPr="00C0755F">
        <w:t xml:space="preserve">Please indicate your agreement by signing in the space provided below on the enclosed extra copy of this contract and return it to us immediately.  Thank you for giving us the opportunity to do your legal work. </w:t>
      </w:r>
    </w:p>
    <w:p w14:paraId="78F12548" w14:textId="77777777" w:rsidR="00872323" w:rsidRPr="008F7BAC" w:rsidRDefault="00872323" w:rsidP="00872323">
      <w:pPr>
        <w:pStyle w:val="TRBody1"/>
        <w:spacing w:after="0"/>
        <w:ind w:firstLine="0"/>
        <w:jc w:val="left"/>
      </w:pPr>
      <w:r w:rsidRPr="008F7BAC">
        <w:t xml:space="preserve">This is </w:t>
      </w:r>
      <w:r w:rsidRPr="000A1EE6">
        <w:t xml:space="preserve">the </w:t>
      </w:r>
      <w:r>
        <w:t>16th</w:t>
      </w:r>
      <w:r w:rsidRPr="000A1EE6">
        <w:t xml:space="preserve"> day of </w:t>
      </w:r>
      <w:r>
        <w:t>June</w:t>
      </w:r>
      <w:r w:rsidRPr="000A1EE6">
        <w:t xml:space="preserve">, </w:t>
      </w:r>
      <w:r>
        <w:t>2020</w:t>
      </w:r>
      <w:r w:rsidRPr="008F7BAC">
        <w:t>.</w:t>
      </w:r>
    </w:p>
    <w:p w14:paraId="56302BEC" w14:textId="77777777" w:rsidR="00872323" w:rsidRPr="00C0755F" w:rsidRDefault="00872323" w:rsidP="00872323">
      <w:pPr>
        <w:pStyle w:val="TRSigLine"/>
      </w:pPr>
      <w:r w:rsidRPr="00C0755F">
        <w:t>___________________________________</w:t>
      </w:r>
    </w:p>
    <w:p w14:paraId="1111E4D0" w14:textId="0D50B90C" w:rsidR="00872323" w:rsidRPr="00F77259" w:rsidRDefault="00872323" w:rsidP="00872323">
      <w:pPr>
        <w:autoSpaceDE w:val="0"/>
        <w:autoSpaceDN w:val="0"/>
        <w:adjustRightInd w:val="0"/>
        <w:spacing w:line="240" w:lineRule="atLeast"/>
        <w:ind w:left="2880"/>
      </w:pPr>
    </w:p>
    <w:p w14:paraId="37302485" w14:textId="77777777" w:rsidR="00872323" w:rsidRPr="00C0755F" w:rsidRDefault="00872323" w:rsidP="009356FC">
      <w:pPr>
        <w:pStyle w:val="TRSigLine"/>
        <w:ind w:left="2160" w:firstLine="720"/>
      </w:pPr>
      <w:r w:rsidRPr="00C0755F">
        <w:t>___________________________________</w:t>
      </w:r>
    </w:p>
    <w:p w14:paraId="0C7C59B1" w14:textId="3D717E4F" w:rsidR="00872323" w:rsidRPr="009356FC" w:rsidRDefault="00872323" w:rsidP="009356FC">
      <w:pPr>
        <w:pStyle w:val="TRBody2"/>
        <w:spacing w:after="0"/>
        <w:ind w:left="2880"/>
        <w:rPr>
          <w:color w:val="000000"/>
        </w:rPr>
      </w:pPr>
      <w:r>
        <w:rPr>
          <w:color w:val="000000"/>
        </w:rPr>
        <w:t>Lisa Angel</w:t>
      </w:r>
      <w:r w:rsidR="009356FC">
        <w:rPr>
          <w:color w:val="000000"/>
        </w:rPr>
        <w:t xml:space="preserve"> </w:t>
      </w:r>
      <w:r w:rsidRPr="00C0755F">
        <w:t>Rosen Law Firm</w:t>
      </w:r>
    </w:p>
    <w:p w14:paraId="1989A136" w14:textId="4607750A" w:rsidR="00872323" w:rsidRDefault="00872323" w:rsidP="00872323"/>
    <w:p w14:paraId="4FFA5A26" w14:textId="77777777" w:rsidR="00E150D5" w:rsidRDefault="00E150D5"/>
    <w:tbl>
      <w:tblPr>
        <w:tblW w:w="0" w:type="auto"/>
        <w:tblBorders>
          <w:top w:val="single" w:sz="8" w:space="0" w:color="4F81BD"/>
          <w:bottom w:val="single" w:sz="8" w:space="0" w:color="4F81BD"/>
        </w:tblBorders>
        <w:tblLook w:val="00A0" w:firstRow="1" w:lastRow="0" w:firstColumn="1" w:lastColumn="0" w:noHBand="0" w:noVBand="0"/>
      </w:tblPr>
      <w:tblGrid>
        <w:gridCol w:w="4740"/>
        <w:gridCol w:w="4620"/>
      </w:tblGrid>
      <w:tr w:rsidR="00BF7EF2" w:rsidRPr="00160F91" w14:paraId="1502E4F0" w14:textId="77777777" w:rsidTr="00BF7EF2">
        <w:tc>
          <w:tcPr>
            <w:tcW w:w="4788" w:type="dxa"/>
            <w:tcBorders>
              <w:top w:val="single" w:sz="8" w:space="0" w:color="4F81BD"/>
              <w:left w:val="nil"/>
              <w:bottom w:val="single" w:sz="8" w:space="0" w:color="4F81BD"/>
              <w:right w:val="nil"/>
            </w:tcBorders>
          </w:tcPr>
          <w:p w14:paraId="52615339" w14:textId="77777777" w:rsidR="00BF7EF2" w:rsidRPr="00160F91" w:rsidRDefault="00BF7EF2" w:rsidP="00BF7EF2">
            <w:pPr>
              <w:jc w:val="center"/>
              <w:rPr>
                <w:b/>
                <w:bCs/>
                <w:color w:val="365F91"/>
                <w:u w:val="single"/>
              </w:rPr>
            </w:pPr>
            <w:r w:rsidRPr="00160F91">
              <w:rPr>
                <w:b/>
                <w:bCs/>
                <w:color w:val="365F91"/>
                <w:u w:val="single"/>
              </w:rPr>
              <w:t>Civil Division Fees</w:t>
            </w:r>
          </w:p>
        </w:tc>
        <w:tc>
          <w:tcPr>
            <w:tcW w:w="4788" w:type="dxa"/>
            <w:tcBorders>
              <w:top w:val="single" w:sz="8" w:space="0" w:color="4F81BD"/>
              <w:left w:val="nil"/>
              <w:bottom w:val="single" w:sz="8" w:space="0" w:color="4F81BD"/>
              <w:right w:val="nil"/>
            </w:tcBorders>
          </w:tcPr>
          <w:p w14:paraId="7AC28F5D" w14:textId="77777777" w:rsidR="00BF7EF2" w:rsidRPr="00160F91" w:rsidRDefault="00BF7EF2" w:rsidP="00BF7EF2">
            <w:pPr>
              <w:jc w:val="center"/>
              <w:rPr>
                <w:b/>
                <w:bCs/>
                <w:color w:val="365F91"/>
                <w:u w:val="single"/>
              </w:rPr>
            </w:pPr>
            <w:r w:rsidRPr="00160F91">
              <w:rPr>
                <w:b/>
                <w:bCs/>
                <w:color w:val="365F91"/>
                <w:u w:val="single"/>
              </w:rPr>
              <w:t>Effective July 1, 2011</w:t>
            </w:r>
          </w:p>
        </w:tc>
      </w:tr>
      <w:tr w:rsidR="00BF7EF2" w:rsidRPr="00160F91" w14:paraId="371EE1B4" w14:textId="77777777" w:rsidTr="00BF7EF2">
        <w:tc>
          <w:tcPr>
            <w:tcW w:w="4788" w:type="dxa"/>
            <w:tcBorders>
              <w:left w:val="nil"/>
              <w:right w:val="nil"/>
            </w:tcBorders>
            <w:shd w:val="clear" w:color="auto" w:fill="D3DFEE"/>
          </w:tcPr>
          <w:p w14:paraId="2B15924C" w14:textId="77777777" w:rsidR="00BF7EF2" w:rsidRPr="00160F91" w:rsidRDefault="00BF7EF2" w:rsidP="00BF7EF2">
            <w:pPr>
              <w:rPr>
                <w:b/>
                <w:bCs/>
                <w:color w:val="365F91"/>
              </w:rPr>
            </w:pPr>
            <w:r w:rsidRPr="00160F91">
              <w:rPr>
                <w:b/>
                <w:bCs/>
                <w:color w:val="365F91"/>
              </w:rPr>
              <w:t>Small claims Filing</w:t>
            </w:r>
          </w:p>
        </w:tc>
        <w:tc>
          <w:tcPr>
            <w:tcW w:w="4788" w:type="dxa"/>
            <w:tcBorders>
              <w:left w:val="nil"/>
              <w:right w:val="nil"/>
            </w:tcBorders>
            <w:shd w:val="clear" w:color="auto" w:fill="D3DFEE"/>
          </w:tcPr>
          <w:p w14:paraId="759A2F8B" w14:textId="77777777" w:rsidR="00BF7EF2" w:rsidRPr="00160F91" w:rsidRDefault="00BF7EF2" w:rsidP="00BF7EF2">
            <w:pPr>
              <w:rPr>
                <w:color w:val="365F91"/>
              </w:rPr>
            </w:pPr>
            <w:r w:rsidRPr="00160F91">
              <w:rPr>
                <w:color w:val="365F91"/>
              </w:rPr>
              <w:t>$96.00</w:t>
            </w:r>
          </w:p>
        </w:tc>
      </w:tr>
      <w:tr w:rsidR="00BF7EF2" w:rsidRPr="00160F91" w14:paraId="51C1F3C4" w14:textId="77777777" w:rsidTr="00BF7EF2">
        <w:tc>
          <w:tcPr>
            <w:tcW w:w="4788" w:type="dxa"/>
          </w:tcPr>
          <w:p w14:paraId="36C59A1F" w14:textId="77777777" w:rsidR="00BF7EF2" w:rsidRPr="00160F91" w:rsidRDefault="00BF7EF2" w:rsidP="00BF7EF2">
            <w:pPr>
              <w:ind w:left="720"/>
              <w:rPr>
                <w:b/>
                <w:bCs/>
                <w:color w:val="365F91"/>
              </w:rPr>
            </w:pPr>
            <w:r w:rsidRPr="00160F91">
              <w:rPr>
                <w:b/>
                <w:bCs/>
                <w:color w:val="365F91"/>
              </w:rPr>
              <w:t>Counterclaims</w:t>
            </w:r>
          </w:p>
        </w:tc>
        <w:tc>
          <w:tcPr>
            <w:tcW w:w="4788" w:type="dxa"/>
          </w:tcPr>
          <w:p w14:paraId="55B66809" w14:textId="77777777" w:rsidR="00BF7EF2" w:rsidRPr="00160F91" w:rsidRDefault="00BF7EF2" w:rsidP="00BF7EF2">
            <w:pPr>
              <w:rPr>
                <w:color w:val="365F91"/>
              </w:rPr>
            </w:pPr>
            <w:r w:rsidRPr="00160F91">
              <w:rPr>
                <w:color w:val="365F91"/>
              </w:rPr>
              <w:t>$96.00</w:t>
            </w:r>
          </w:p>
        </w:tc>
      </w:tr>
      <w:tr w:rsidR="00BF7EF2" w:rsidRPr="00160F91" w14:paraId="00024F48" w14:textId="77777777" w:rsidTr="00BF7EF2">
        <w:tc>
          <w:tcPr>
            <w:tcW w:w="4788" w:type="dxa"/>
            <w:tcBorders>
              <w:left w:val="nil"/>
              <w:right w:val="nil"/>
            </w:tcBorders>
            <w:shd w:val="clear" w:color="auto" w:fill="D3DFEE"/>
          </w:tcPr>
          <w:p w14:paraId="18B17F85" w14:textId="77777777" w:rsidR="00BF7EF2" w:rsidRPr="00160F91" w:rsidRDefault="00BF7EF2" w:rsidP="00BF7EF2">
            <w:pPr>
              <w:ind w:left="720"/>
              <w:rPr>
                <w:b/>
                <w:bCs/>
                <w:color w:val="365F91"/>
              </w:rPr>
            </w:pPr>
            <w:r w:rsidRPr="00160F91">
              <w:rPr>
                <w:b/>
                <w:bCs/>
                <w:color w:val="365F91"/>
              </w:rPr>
              <w:t>A&amp;P Summons</w:t>
            </w:r>
          </w:p>
        </w:tc>
        <w:tc>
          <w:tcPr>
            <w:tcW w:w="4788" w:type="dxa"/>
            <w:tcBorders>
              <w:left w:val="nil"/>
              <w:right w:val="nil"/>
            </w:tcBorders>
            <w:shd w:val="clear" w:color="auto" w:fill="D3DFEE"/>
          </w:tcPr>
          <w:p w14:paraId="6C75D892" w14:textId="77777777" w:rsidR="00BF7EF2" w:rsidRPr="00160F91" w:rsidRDefault="00BF7EF2" w:rsidP="00BF7EF2">
            <w:pPr>
              <w:rPr>
                <w:color w:val="365F91"/>
              </w:rPr>
            </w:pPr>
            <w:r w:rsidRPr="00160F91">
              <w:rPr>
                <w:color w:val="365F91"/>
              </w:rPr>
              <w:t>$15.00</w:t>
            </w:r>
          </w:p>
        </w:tc>
      </w:tr>
      <w:tr w:rsidR="00BF7EF2" w:rsidRPr="00160F91" w14:paraId="47F2A090" w14:textId="77777777" w:rsidTr="00BF7EF2">
        <w:tc>
          <w:tcPr>
            <w:tcW w:w="4788" w:type="dxa"/>
          </w:tcPr>
          <w:p w14:paraId="73A8228B" w14:textId="77777777" w:rsidR="00BF7EF2" w:rsidRPr="00160F91" w:rsidRDefault="00BF7EF2" w:rsidP="00BF7EF2">
            <w:pPr>
              <w:rPr>
                <w:b/>
                <w:bCs/>
                <w:color w:val="365F91"/>
              </w:rPr>
            </w:pPr>
          </w:p>
        </w:tc>
        <w:tc>
          <w:tcPr>
            <w:tcW w:w="4788" w:type="dxa"/>
          </w:tcPr>
          <w:p w14:paraId="144220D7" w14:textId="77777777" w:rsidR="00BF7EF2" w:rsidRPr="00160F91" w:rsidRDefault="00BF7EF2" w:rsidP="00BF7EF2">
            <w:pPr>
              <w:rPr>
                <w:color w:val="365F91"/>
              </w:rPr>
            </w:pPr>
          </w:p>
        </w:tc>
      </w:tr>
      <w:tr w:rsidR="00BF7EF2" w:rsidRPr="00160F91" w14:paraId="5E3D1649" w14:textId="77777777" w:rsidTr="00BF7EF2">
        <w:tc>
          <w:tcPr>
            <w:tcW w:w="4788" w:type="dxa"/>
            <w:tcBorders>
              <w:left w:val="nil"/>
              <w:right w:val="nil"/>
            </w:tcBorders>
            <w:shd w:val="clear" w:color="auto" w:fill="D3DFEE"/>
          </w:tcPr>
          <w:p w14:paraId="42068097" w14:textId="77777777" w:rsidR="00BF7EF2" w:rsidRPr="00160F91" w:rsidRDefault="00BF7EF2" w:rsidP="00BF7EF2">
            <w:pPr>
              <w:rPr>
                <w:b/>
                <w:bCs/>
                <w:color w:val="365F91"/>
              </w:rPr>
            </w:pPr>
            <w:r w:rsidRPr="00160F91">
              <w:rPr>
                <w:b/>
                <w:bCs/>
                <w:color w:val="365F91"/>
              </w:rPr>
              <w:t>District Filing</w:t>
            </w:r>
          </w:p>
        </w:tc>
        <w:tc>
          <w:tcPr>
            <w:tcW w:w="4788" w:type="dxa"/>
            <w:tcBorders>
              <w:left w:val="nil"/>
              <w:right w:val="nil"/>
            </w:tcBorders>
            <w:shd w:val="clear" w:color="auto" w:fill="D3DFEE"/>
          </w:tcPr>
          <w:p w14:paraId="0E7FF740" w14:textId="77777777" w:rsidR="00BF7EF2" w:rsidRPr="00160F91" w:rsidRDefault="00BF7EF2" w:rsidP="00BF7EF2">
            <w:pPr>
              <w:rPr>
                <w:color w:val="365F91"/>
              </w:rPr>
            </w:pPr>
            <w:r w:rsidRPr="00160F91">
              <w:rPr>
                <w:color w:val="365F91"/>
              </w:rPr>
              <w:t>$150.00</w:t>
            </w:r>
          </w:p>
        </w:tc>
      </w:tr>
      <w:tr w:rsidR="00BF7EF2" w:rsidRPr="00160F91" w14:paraId="2306E50C" w14:textId="77777777" w:rsidTr="00BF7EF2">
        <w:tc>
          <w:tcPr>
            <w:tcW w:w="4788" w:type="dxa"/>
          </w:tcPr>
          <w:p w14:paraId="688CC5A9" w14:textId="77777777" w:rsidR="00BF7EF2" w:rsidRPr="00160F91" w:rsidRDefault="00BF7EF2" w:rsidP="00BF7EF2">
            <w:pPr>
              <w:ind w:left="720"/>
              <w:rPr>
                <w:b/>
                <w:bCs/>
                <w:color w:val="365F91"/>
              </w:rPr>
            </w:pPr>
            <w:r w:rsidRPr="00160F91">
              <w:rPr>
                <w:b/>
                <w:bCs/>
                <w:color w:val="365F91"/>
              </w:rPr>
              <w:t>Counterclaims/Crossclaims</w:t>
            </w:r>
          </w:p>
        </w:tc>
        <w:tc>
          <w:tcPr>
            <w:tcW w:w="4788" w:type="dxa"/>
          </w:tcPr>
          <w:p w14:paraId="7B87C7BF" w14:textId="77777777" w:rsidR="00BF7EF2" w:rsidRPr="00160F91" w:rsidRDefault="00BF7EF2" w:rsidP="00BF7EF2">
            <w:pPr>
              <w:rPr>
                <w:color w:val="365F91"/>
              </w:rPr>
            </w:pPr>
            <w:r w:rsidRPr="00160F91">
              <w:rPr>
                <w:color w:val="365F91"/>
              </w:rPr>
              <w:t>$150.00</w:t>
            </w:r>
          </w:p>
        </w:tc>
      </w:tr>
      <w:tr w:rsidR="00BF7EF2" w:rsidRPr="00160F91" w14:paraId="5542036F" w14:textId="77777777" w:rsidTr="00BF7EF2">
        <w:tc>
          <w:tcPr>
            <w:tcW w:w="4788" w:type="dxa"/>
            <w:tcBorders>
              <w:left w:val="nil"/>
              <w:right w:val="nil"/>
            </w:tcBorders>
            <w:shd w:val="clear" w:color="auto" w:fill="D3DFEE"/>
          </w:tcPr>
          <w:p w14:paraId="5A8DBE2C" w14:textId="77777777" w:rsidR="00BF7EF2" w:rsidRPr="00160F91" w:rsidRDefault="00BF7EF2" w:rsidP="00BF7EF2">
            <w:pPr>
              <w:ind w:left="720"/>
              <w:rPr>
                <w:b/>
                <w:bCs/>
                <w:color w:val="365F91"/>
              </w:rPr>
            </w:pPr>
            <w:r w:rsidRPr="00160F91">
              <w:rPr>
                <w:b/>
                <w:bCs/>
                <w:color w:val="365F91"/>
              </w:rPr>
              <w:t>A&amp;P Summons or Endorsements</w:t>
            </w:r>
          </w:p>
        </w:tc>
        <w:tc>
          <w:tcPr>
            <w:tcW w:w="4788" w:type="dxa"/>
            <w:tcBorders>
              <w:left w:val="nil"/>
              <w:right w:val="nil"/>
            </w:tcBorders>
            <w:shd w:val="clear" w:color="auto" w:fill="D3DFEE"/>
          </w:tcPr>
          <w:p w14:paraId="0AC57C66" w14:textId="77777777" w:rsidR="00BF7EF2" w:rsidRPr="00160F91" w:rsidRDefault="00BF7EF2" w:rsidP="00BF7EF2">
            <w:pPr>
              <w:rPr>
                <w:color w:val="365F91"/>
              </w:rPr>
            </w:pPr>
            <w:r w:rsidRPr="00160F91">
              <w:rPr>
                <w:color w:val="365F91"/>
              </w:rPr>
              <w:t>$15.00</w:t>
            </w:r>
          </w:p>
        </w:tc>
      </w:tr>
      <w:tr w:rsidR="00BF7EF2" w:rsidRPr="00160F91" w14:paraId="1EF45878" w14:textId="77777777" w:rsidTr="00BF7EF2">
        <w:tc>
          <w:tcPr>
            <w:tcW w:w="4788" w:type="dxa"/>
          </w:tcPr>
          <w:p w14:paraId="608AA3DF" w14:textId="77777777" w:rsidR="00BF7EF2" w:rsidRPr="00160F91" w:rsidRDefault="00BF7EF2" w:rsidP="00BF7EF2">
            <w:pPr>
              <w:ind w:left="720"/>
              <w:rPr>
                <w:b/>
                <w:bCs/>
                <w:color w:val="365F91"/>
              </w:rPr>
            </w:pPr>
            <w:r w:rsidRPr="00160F91">
              <w:rPr>
                <w:b/>
                <w:bCs/>
                <w:color w:val="365F91"/>
              </w:rPr>
              <w:t xml:space="preserve">Motions </w:t>
            </w:r>
          </w:p>
        </w:tc>
        <w:tc>
          <w:tcPr>
            <w:tcW w:w="4788" w:type="dxa"/>
          </w:tcPr>
          <w:p w14:paraId="41BD8717" w14:textId="77777777" w:rsidR="00BF7EF2" w:rsidRPr="00160F91" w:rsidRDefault="00BF7EF2" w:rsidP="00BF7EF2">
            <w:pPr>
              <w:rPr>
                <w:color w:val="365F91"/>
              </w:rPr>
            </w:pPr>
            <w:r w:rsidRPr="00160F91">
              <w:rPr>
                <w:color w:val="365F91"/>
              </w:rPr>
              <w:t>$20.00</w:t>
            </w:r>
          </w:p>
        </w:tc>
      </w:tr>
      <w:tr w:rsidR="00BF7EF2" w:rsidRPr="00160F91" w14:paraId="43595306" w14:textId="77777777" w:rsidTr="00BF7EF2">
        <w:tc>
          <w:tcPr>
            <w:tcW w:w="4788" w:type="dxa"/>
            <w:tcBorders>
              <w:left w:val="nil"/>
              <w:right w:val="nil"/>
            </w:tcBorders>
            <w:shd w:val="clear" w:color="auto" w:fill="D3DFEE"/>
          </w:tcPr>
          <w:p w14:paraId="1EF2C8A4" w14:textId="77777777" w:rsidR="00BF7EF2" w:rsidRPr="00160F91" w:rsidRDefault="00BF7EF2" w:rsidP="00BF7EF2">
            <w:pPr>
              <w:rPr>
                <w:b/>
                <w:bCs/>
                <w:color w:val="365F91"/>
              </w:rPr>
            </w:pPr>
          </w:p>
        </w:tc>
        <w:tc>
          <w:tcPr>
            <w:tcW w:w="4788" w:type="dxa"/>
            <w:tcBorders>
              <w:left w:val="nil"/>
              <w:right w:val="nil"/>
            </w:tcBorders>
            <w:shd w:val="clear" w:color="auto" w:fill="D3DFEE"/>
          </w:tcPr>
          <w:p w14:paraId="6307F545" w14:textId="77777777" w:rsidR="00BF7EF2" w:rsidRPr="00160F91" w:rsidRDefault="00BF7EF2" w:rsidP="00BF7EF2">
            <w:pPr>
              <w:rPr>
                <w:color w:val="365F91"/>
              </w:rPr>
            </w:pPr>
          </w:p>
        </w:tc>
      </w:tr>
      <w:tr w:rsidR="00BF7EF2" w:rsidRPr="00160F91" w14:paraId="09E2EEC2" w14:textId="77777777" w:rsidTr="00BF7EF2">
        <w:tc>
          <w:tcPr>
            <w:tcW w:w="4788" w:type="dxa"/>
          </w:tcPr>
          <w:p w14:paraId="54D2E9CA" w14:textId="77777777" w:rsidR="00BF7EF2" w:rsidRPr="00160F91" w:rsidRDefault="00BF7EF2" w:rsidP="00BF7EF2">
            <w:pPr>
              <w:rPr>
                <w:b/>
                <w:bCs/>
                <w:color w:val="365F91"/>
              </w:rPr>
            </w:pPr>
            <w:r w:rsidRPr="00160F91">
              <w:rPr>
                <w:b/>
                <w:bCs/>
                <w:color w:val="365F91"/>
              </w:rPr>
              <w:t>Superior Filing</w:t>
            </w:r>
          </w:p>
        </w:tc>
        <w:tc>
          <w:tcPr>
            <w:tcW w:w="4788" w:type="dxa"/>
          </w:tcPr>
          <w:p w14:paraId="3A5FD7B4" w14:textId="77777777" w:rsidR="00BF7EF2" w:rsidRPr="00160F91" w:rsidRDefault="00BF7EF2" w:rsidP="00BF7EF2">
            <w:pPr>
              <w:rPr>
                <w:color w:val="365F91"/>
              </w:rPr>
            </w:pPr>
            <w:r w:rsidRPr="00160F91">
              <w:rPr>
                <w:color w:val="365F91"/>
              </w:rPr>
              <w:t>$200.00</w:t>
            </w:r>
          </w:p>
        </w:tc>
      </w:tr>
      <w:tr w:rsidR="00BF7EF2" w:rsidRPr="00160F91" w14:paraId="07712C2D" w14:textId="77777777" w:rsidTr="00BF7EF2">
        <w:tc>
          <w:tcPr>
            <w:tcW w:w="4788" w:type="dxa"/>
            <w:tcBorders>
              <w:left w:val="nil"/>
              <w:right w:val="nil"/>
            </w:tcBorders>
            <w:shd w:val="clear" w:color="auto" w:fill="D3DFEE"/>
          </w:tcPr>
          <w:p w14:paraId="61EE3E33" w14:textId="77777777" w:rsidR="00BF7EF2" w:rsidRPr="00160F91" w:rsidRDefault="00BF7EF2" w:rsidP="00BF7EF2">
            <w:pPr>
              <w:ind w:left="720"/>
              <w:rPr>
                <w:b/>
                <w:bCs/>
                <w:color w:val="365F91"/>
              </w:rPr>
            </w:pPr>
            <w:r w:rsidRPr="00160F91">
              <w:rPr>
                <w:b/>
                <w:bCs/>
                <w:color w:val="365F91"/>
              </w:rPr>
              <w:t>Counterclaims/Crossclaims</w:t>
            </w:r>
          </w:p>
        </w:tc>
        <w:tc>
          <w:tcPr>
            <w:tcW w:w="4788" w:type="dxa"/>
            <w:tcBorders>
              <w:left w:val="nil"/>
              <w:right w:val="nil"/>
            </w:tcBorders>
            <w:shd w:val="clear" w:color="auto" w:fill="D3DFEE"/>
          </w:tcPr>
          <w:p w14:paraId="0BD50D70" w14:textId="77777777" w:rsidR="00BF7EF2" w:rsidRPr="00160F91" w:rsidRDefault="00BF7EF2" w:rsidP="00BF7EF2">
            <w:pPr>
              <w:rPr>
                <w:color w:val="365F91"/>
              </w:rPr>
            </w:pPr>
            <w:r w:rsidRPr="00160F91">
              <w:rPr>
                <w:color w:val="365F91"/>
              </w:rPr>
              <w:t>$200.00</w:t>
            </w:r>
          </w:p>
        </w:tc>
      </w:tr>
      <w:tr w:rsidR="00BF7EF2" w:rsidRPr="00160F91" w14:paraId="2AC47D17" w14:textId="77777777" w:rsidTr="00BF7EF2">
        <w:tc>
          <w:tcPr>
            <w:tcW w:w="4788" w:type="dxa"/>
          </w:tcPr>
          <w:p w14:paraId="1BB86D74" w14:textId="77777777" w:rsidR="00BF7EF2" w:rsidRPr="00160F91" w:rsidRDefault="00BF7EF2" w:rsidP="00BF7EF2">
            <w:pPr>
              <w:ind w:left="720"/>
              <w:rPr>
                <w:b/>
                <w:bCs/>
                <w:color w:val="365F91"/>
              </w:rPr>
            </w:pPr>
            <w:r w:rsidRPr="00160F91">
              <w:rPr>
                <w:b/>
                <w:bCs/>
                <w:color w:val="365F91"/>
              </w:rPr>
              <w:t>A&amp;P Summons or Endorsements</w:t>
            </w:r>
          </w:p>
        </w:tc>
        <w:tc>
          <w:tcPr>
            <w:tcW w:w="4788" w:type="dxa"/>
          </w:tcPr>
          <w:p w14:paraId="0D4BA9F9" w14:textId="77777777" w:rsidR="00BF7EF2" w:rsidRPr="00160F91" w:rsidRDefault="00BF7EF2" w:rsidP="00BF7EF2">
            <w:pPr>
              <w:rPr>
                <w:color w:val="365F91"/>
              </w:rPr>
            </w:pPr>
            <w:r w:rsidRPr="00160F91">
              <w:rPr>
                <w:color w:val="365F91"/>
              </w:rPr>
              <w:t>$15.00</w:t>
            </w:r>
          </w:p>
        </w:tc>
      </w:tr>
      <w:tr w:rsidR="00BF7EF2" w:rsidRPr="00160F91" w14:paraId="462B46D0" w14:textId="77777777" w:rsidTr="00BF7EF2">
        <w:tc>
          <w:tcPr>
            <w:tcW w:w="4788" w:type="dxa"/>
            <w:tcBorders>
              <w:left w:val="nil"/>
              <w:right w:val="nil"/>
            </w:tcBorders>
            <w:shd w:val="clear" w:color="auto" w:fill="D3DFEE"/>
          </w:tcPr>
          <w:p w14:paraId="4EFFA7B5" w14:textId="77777777" w:rsidR="00BF7EF2" w:rsidRPr="00160F91" w:rsidRDefault="00BF7EF2" w:rsidP="00BF7EF2">
            <w:pPr>
              <w:ind w:left="720"/>
              <w:rPr>
                <w:b/>
                <w:bCs/>
                <w:color w:val="365F91"/>
              </w:rPr>
            </w:pPr>
            <w:r w:rsidRPr="00160F91">
              <w:rPr>
                <w:b/>
                <w:bCs/>
                <w:color w:val="365F91"/>
              </w:rPr>
              <w:t xml:space="preserve">Motions </w:t>
            </w:r>
          </w:p>
        </w:tc>
        <w:tc>
          <w:tcPr>
            <w:tcW w:w="4788" w:type="dxa"/>
            <w:tcBorders>
              <w:left w:val="nil"/>
              <w:right w:val="nil"/>
            </w:tcBorders>
            <w:shd w:val="clear" w:color="auto" w:fill="D3DFEE"/>
          </w:tcPr>
          <w:p w14:paraId="40D1A81D" w14:textId="77777777" w:rsidR="00BF7EF2" w:rsidRPr="00160F91" w:rsidRDefault="00BF7EF2" w:rsidP="00BF7EF2">
            <w:pPr>
              <w:rPr>
                <w:color w:val="365F91"/>
              </w:rPr>
            </w:pPr>
            <w:r w:rsidRPr="00160F91">
              <w:rPr>
                <w:color w:val="365F91"/>
              </w:rPr>
              <w:t>$20.00</w:t>
            </w:r>
          </w:p>
        </w:tc>
      </w:tr>
      <w:tr w:rsidR="00BF7EF2" w:rsidRPr="00160F91" w14:paraId="3B3C6123" w14:textId="77777777" w:rsidTr="00BF7EF2">
        <w:tc>
          <w:tcPr>
            <w:tcW w:w="4788" w:type="dxa"/>
          </w:tcPr>
          <w:p w14:paraId="05487115" w14:textId="77777777" w:rsidR="00BF7EF2" w:rsidRPr="00160F91" w:rsidRDefault="00BF7EF2" w:rsidP="00BF7EF2">
            <w:pPr>
              <w:rPr>
                <w:b/>
                <w:bCs/>
                <w:color w:val="365F91"/>
              </w:rPr>
            </w:pPr>
          </w:p>
        </w:tc>
        <w:tc>
          <w:tcPr>
            <w:tcW w:w="4788" w:type="dxa"/>
          </w:tcPr>
          <w:p w14:paraId="4726EC19" w14:textId="77777777" w:rsidR="00BF7EF2" w:rsidRPr="00160F91" w:rsidRDefault="00BF7EF2" w:rsidP="00BF7EF2">
            <w:pPr>
              <w:rPr>
                <w:color w:val="365F91"/>
              </w:rPr>
            </w:pPr>
          </w:p>
        </w:tc>
      </w:tr>
      <w:tr w:rsidR="00BF7EF2" w:rsidRPr="00160F91" w14:paraId="48CE5543" w14:textId="77777777" w:rsidTr="00BF7EF2">
        <w:tc>
          <w:tcPr>
            <w:tcW w:w="4788" w:type="dxa"/>
            <w:tcBorders>
              <w:left w:val="nil"/>
              <w:bottom w:val="single" w:sz="8" w:space="0" w:color="4F81BD"/>
              <w:right w:val="nil"/>
            </w:tcBorders>
            <w:shd w:val="clear" w:color="auto" w:fill="D3DFEE"/>
          </w:tcPr>
          <w:p w14:paraId="16673E54" w14:textId="77777777" w:rsidR="00BF7EF2" w:rsidRPr="00160F91" w:rsidRDefault="00BF7EF2" w:rsidP="00BF7EF2">
            <w:pPr>
              <w:rPr>
                <w:b/>
                <w:bCs/>
                <w:color w:val="365F91"/>
              </w:rPr>
            </w:pPr>
            <w:r w:rsidRPr="00160F91">
              <w:rPr>
                <w:b/>
                <w:bCs/>
                <w:color w:val="365F91"/>
              </w:rPr>
              <w:t>Divorce Filing</w:t>
            </w:r>
          </w:p>
        </w:tc>
        <w:tc>
          <w:tcPr>
            <w:tcW w:w="4788" w:type="dxa"/>
            <w:tcBorders>
              <w:left w:val="nil"/>
              <w:bottom w:val="single" w:sz="8" w:space="0" w:color="4F81BD"/>
              <w:right w:val="nil"/>
            </w:tcBorders>
            <w:shd w:val="clear" w:color="auto" w:fill="D3DFEE"/>
          </w:tcPr>
          <w:p w14:paraId="11CEE25A" w14:textId="77777777" w:rsidR="00BF7EF2" w:rsidRPr="00160F91" w:rsidRDefault="00BF7EF2" w:rsidP="00BF7EF2">
            <w:pPr>
              <w:rPr>
                <w:color w:val="365F91"/>
              </w:rPr>
            </w:pPr>
            <w:r w:rsidRPr="00160F91">
              <w:rPr>
                <w:color w:val="365F91"/>
              </w:rPr>
              <w:t>$225.00</w:t>
            </w:r>
          </w:p>
        </w:tc>
      </w:tr>
    </w:tbl>
    <w:p w14:paraId="2EA9B884" w14:textId="77777777" w:rsidR="00BF7EF2" w:rsidRPr="00C0755F" w:rsidRDefault="00BF7EF2" w:rsidP="008A7EAD">
      <w:pPr>
        <w:pStyle w:val="TRSigName"/>
      </w:pPr>
    </w:p>
    <w:sectPr w:rsidR="00BF7EF2" w:rsidRPr="00C0755F" w:rsidSect="0022238B">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170C5" w14:textId="77777777" w:rsidR="004A4893" w:rsidRDefault="004A4893" w:rsidP="00BF744E">
      <w:r>
        <w:separator/>
      </w:r>
    </w:p>
  </w:endnote>
  <w:endnote w:type="continuationSeparator" w:id="0">
    <w:p w14:paraId="0B9F8353" w14:textId="77777777" w:rsidR="004A4893" w:rsidRDefault="004A4893" w:rsidP="00BF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EDE2B" w14:textId="77777777" w:rsidR="004A4893" w:rsidRDefault="004A4893" w:rsidP="00BF744E">
      <w:r>
        <w:separator/>
      </w:r>
    </w:p>
  </w:footnote>
  <w:footnote w:type="continuationSeparator" w:id="0">
    <w:p w14:paraId="11B4DBE2" w14:textId="77777777" w:rsidR="004A4893" w:rsidRDefault="004A4893" w:rsidP="00BF7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66701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3A0F87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61A090E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0F8810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2F1E1F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7673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F4F2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0E1A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52AC6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DD292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A7F83"/>
    <w:multiLevelType w:val="hybridMultilevel"/>
    <w:tmpl w:val="0248FE46"/>
    <w:lvl w:ilvl="0" w:tplc="E1368E64">
      <w:start w:val="1"/>
      <w:numFmt w:val="upperLetter"/>
      <w:pStyle w:val="TRBodyAlpha"/>
      <w:lvlText w:val="%1."/>
      <w:lvlJc w:val="left"/>
      <w:pPr>
        <w:tabs>
          <w:tab w:val="num" w:pos="720"/>
        </w:tabs>
        <w:ind w:firstLine="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4F70D28"/>
    <w:multiLevelType w:val="multilevel"/>
    <w:tmpl w:val="2F18106E"/>
    <w:lvl w:ilvl="0">
      <w:start w:val="1"/>
      <w:numFmt w:val="upperLetter"/>
      <w:lvlText w:val="%1."/>
      <w:lvlJc w:val="left"/>
      <w:pPr>
        <w:tabs>
          <w:tab w:val="num" w:pos="720"/>
        </w:tabs>
        <w:ind w:firstLine="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89A7E2B"/>
    <w:multiLevelType w:val="hybridMultilevel"/>
    <w:tmpl w:val="88DE152C"/>
    <w:lvl w:ilvl="0" w:tplc="83527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E17EDB"/>
    <w:multiLevelType w:val="multilevel"/>
    <w:tmpl w:val="AE78A184"/>
    <w:lvl w:ilvl="0">
      <w:start w:val="1"/>
      <w:numFmt w:val="upperLetter"/>
      <w:lvlText w:val="%1."/>
      <w:lvlJc w:val="left"/>
      <w:pPr>
        <w:tabs>
          <w:tab w:val="num" w:pos="720"/>
        </w:tabs>
        <w:ind w:firstLine="720"/>
      </w:pPr>
      <w:rPr>
        <w:rFonts w:ascii="Tahoma" w:hAnsi="Tahoma" w:cs="Tahoma" w:hint="default"/>
        <w:b w:val="0"/>
        <w:bCs w:val="0"/>
        <w:i w:val="0"/>
        <w:iCs w:val="0"/>
        <w:caps w:val="0"/>
        <w:smallCaps w:val="0"/>
        <w:strike w:val="0"/>
        <w:dstrike w:val="0"/>
        <w:vanish w:val="0"/>
        <w:color w:val="auto"/>
        <w:spacing w:val="0"/>
        <w:w w:val="100"/>
        <w:kern w:val="0"/>
        <w:position w:val="0"/>
        <w:sz w:val="25"/>
        <w:szCs w:val="25"/>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B2C6DE9"/>
    <w:multiLevelType w:val="hybridMultilevel"/>
    <w:tmpl w:val="28549222"/>
    <w:lvl w:ilvl="0" w:tplc="8DF229B8">
      <w:start w:val="1"/>
      <w:numFmt w:val="bullet"/>
      <w:pStyle w:val="TRMem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422844"/>
    <w:multiLevelType w:val="multilevel"/>
    <w:tmpl w:val="D712824E"/>
    <w:lvl w:ilvl="0">
      <w:start w:val="1"/>
      <w:numFmt w:val="decimal"/>
      <w:pStyle w:val="TRArt1"/>
      <w:suff w:val="space"/>
      <w:lvlText w:val="ARTICLE %1"/>
      <w:lvlJc w:val="center"/>
      <w:rPr>
        <w:rFonts w:cs="Times New Roman" w:hint="default"/>
      </w:rPr>
    </w:lvl>
    <w:lvl w:ilvl="1">
      <w:start w:val="1"/>
      <w:numFmt w:val="decimal"/>
      <w:pStyle w:val="TRArt2"/>
      <w:lvlText w:val="%1.%2."/>
      <w:lvlJc w:val="left"/>
      <w:pPr>
        <w:tabs>
          <w:tab w:val="num" w:pos="720"/>
        </w:tabs>
        <w:ind w:firstLine="720"/>
      </w:pPr>
      <w:rPr>
        <w:rFonts w:cs="Times New Roman" w:hint="default"/>
      </w:rPr>
    </w:lvl>
    <w:lvl w:ilvl="2">
      <w:start w:val="1"/>
      <w:numFmt w:val="decimal"/>
      <w:pStyle w:val="TRArt3B"/>
      <w:lvlText w:val="%1.%2.%3."/>
      <w:lvlJc w:val="left"/>
      <w:pPr>
        <w:tabs>
          <w:tab w:val="num" w:pos="720"/>
        </w:tabs>
        <w:ind w:firstLine="1440"/>
      </w:pPr>
      <w:rPr>
        <w:rFonts w:cs="Times New Roman" w:hint="default"/>
      </w:rPr>
    </w:lvl>
    <w:lvl w:ilvl="3">
      <w:start w:val="1"/>
      <w:numFmt w:val="decimal"/>
      <w:pStyle w:val="TRArt4B"/>
      <w:lvlText w:val="%1.%2.%3.%4."/>
      <w:lvlJc w:val="left"/>
      <w:pPr>
        <w:tabs>
          <w:tab w:val="num" w:pos="720"/>
        </w:tabs>
        <w:ind w:firstLine="1440"/>
      </w:pPr>
      <w:rPr>
        <w:rFonts w:cs="Times New Roman" w:hint="default"/>
      </w:rPr>
    </w:lvl>
    <w:lvl w:ilvl="4">
      <w:start w:val="1"/>
      <w:numFmt w:val="lowerLetter"/>
      <w:lvlText w:val="%5."/>
      <w:lvlJc w:val="left"/>
      <w:pPr>
        <w:tabs>
          <w:tab w:val="num" w:pos="2160"/>
        </w:tabs>
        <w:ind w:firstLine="2160"/>
      </w:pPr>
      <w:rPr>
        <w:rFonts w:cs="Times New Roman" w:hint="default"/>
      </w:rPr>
    </w:lvl>
    <w:lvl w:ilvl="5">
      <w:start w:val="1"/>
      <w:numFmt w:val="lowerLetter"/>
      <w:pStyle w:val="Heading6"/>
      <w:lvlText w:val="%6)"/>
      <w:lvlJc w:val="left"/>
      <w:pPr>
        <w:tabs>
          <w:tab w:val="num" w:pos="1152"/>
        </w:tabs>
        <w:ind w:left="1152" w:hanging="432"/>
      </w:pPr>
      <w:rPr>
        <w:rFonts w:cs="Times New Roman" w:hint="default"/>
      </w:rPr>
    </w:lvl>
    <w:lvl w:ilvl="6">
      <w:start w:val="1"/>
      <w:numFmt w:val="lowerRoman"/>
      <w:pStyle w:val="Heading7"/>
      <w:lvlText w:val="%7)"/>
      <w:lvlJc w:val="right"/>
      <w:pPr>
        <w:tabs>
          <w:tab w:val="num" w:pos="1296"/>
        </w:tabs>
        <w:ind w:left="1296" w:hanging="288"/>
      </w:pPr>
      <w:rPr>
        <w:rFonts w:cs="Times New Roman" w:hint="default"/>
      </w:rPr>
    </w:lvl>
    <w:lvl w:ilvl="7">
      <w:start w:val="1"/>
      <w:numFmt w:val="lowerLetter"/>
      <w:pStyle w:val="Heading8"/>
      <w:lvlText w:val="%8."/>
      <w:lvlJc w:val="left"/>
      <w:pPr>
        <w:tabs>
          <w:tab w:val="num" w:pos="1440"/>
        </w:tabs>
        <w:ind w:left="1440" w:hanging="432"/>
      </w:pPr>
      <w:rPr>
        <w:rFonts w:cs="Times New Roman" w:hint="default"/>
      </w:rPr>
    </w:lvl>
    <w:lvl w:ilvl="8">
      <w:start w:val="1"/>
      <w:numFmt w:val="lowerRoman"/>
      <w:pStyle w:val="Heading9"/>
      <w:lvlText w:val="%9."/>
      <w:lvlJc w:val="right"/>
      <w:pPr>
        <w:tabs>
          <w:tab w:val="num" w:pos="1584"/>
        </w:tabs>
        <w:ind w:left="1584" w:hanging="144"/>
      </w:pPr>
      <w:rPr>
        <w:rFonts w:cs="Times New Roman" w:hint="default"/>
      </w:rPr>
    </w:lvl>
  </w:abstractNum>
  <w:abstractNum w:abstractNumId="16" w15:restartNumberingAfterBreak="0">
    <w:nsid w:val="44D67636"/>
    <w:multiLevelType w:val="multilevel"/>
    <w:tmpl w:val="275AFC2A"/>
    <w:lvl w:ilvl="0">
      <w:start w:val="1"/>
      <w:numFmt w:val="upperRoman"/>
      <w:suff w:val="space"/>
      <w:lvlText w:val="ARTICLE %1"/>
      <w:lvlJc w:val="center"/>
      <w:rPr>
        <w:rFonts w:cs="Times New Roman" w:hint="default"/>
      </w:rPr>
    </w:lvl>
    <w:lvl w:ilvl="1">
      <w:start w:val="1"/>
      <w:numFmt w:val="upperLetter"/>
      <w:lvlText w:val="%2."/>
      <w:lvlJc w:val="left"/>
      <w:pPr>
        <w:tabs>
          <w:tab w:val="num" w:pos="720"/>
        </w:tabs>
        <w:ind w:firstLine="720"/>
      </w:pPr>
      <w:rPr>
        <w:rFonts w:cs="Times New Roman" w:hint="default"/>
      </w:rPr>
    </w:lvl>
    <w:lvl w:ilvl="2">
      <w:start w:val="1"/>
      <w:numFmt w:val="decimal"/>
      <w:lvlText w:val="%3."/>
      <w:lvlJc w:val="left"/>
      <w:pPr>
        <w:tabs>
          <w:tab w:val="num" w:pos="720"/>
        </w:tabs>
        <w:ind w:firstLine="1440"/>
      </w:pPr>
      <w:rPr>
        <w:rFonts w:cs="Times New Roman" w:hint="default"/>
      </w:rPr>
    </w:lvl>
    <w:lvl w:ilvl="3">
      <w:start w:val="1"/>
      <w:numFmt w:val="decimal"/>
      <w:lvlText w:val="%4."/>
      <w:lvlJc w:val="left"/>
      <w:pPr>
        <w:tabs>
          <w:tab w:val="num" w:pos="720"/>
        </w:tabs>
        <w:ind w:firstLine="1440"/>
      </w:pPr>
      <w:rPr>
        <w:rFonts w:cs="Times New Roman" w:hint="default"/>
      </w:rPr>
    </w:lvl>
    <w:lvl w:ilvl="4">
      <w:start w:val="1"/>
      <w:numFmt w:val="lowerLetter"/>
      <w:lvlText w:val="%5."/>
      <w:lvlJc w:val="left"/>
      <w:pPr>
        <w:tabs>
          <w:tab w:val="num" w:pos="2160"/>
        </w:tabs>
        <w:ind w:firstLine="2160"/>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15:restartNumberingAfterBreak="0">
    <w:nsid w:val="65D85E94"/>
    <w:multiLevelType w:val="hybridMultilevel"/>
    <w:tmpl w:val="2B5E39DA"/>
    <w:lvl w:ilvl="0" w:tplc="8FB0C85A">
      <w:start w:val="1"/>
      <w:numFmt w:val="decimal"/>
      <w:pStyle w:val="TRBodyNum"/>
      <w:lvlText w:val="%1."/>
      <w:lvlJc w:val="left"/>
      <w:pPr>
        <w:tabs>
          <w:tab w:val="num" w:pos="720"/>
        </w:tabs>
        <w:ind w:firstLine="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765E467A"/>
    <w:multiLevelType w:val="multilevel"/>
    <w:tmpl w:val="275AFC2A"/>
    <w:lvl w:ilvl="0">
      <w:start w:val="1"/>
      <w:numFmt w:val="upperRoman"/>
      <w:suff w:val="space"/>
      <w:lvlText w:val="ARTICLE %1"/>
      <w:lvlJc w:val="center"/>
      <w:rPr>
        <w:rFonts w:cs="Times New Roman" w:hint="default"/>
      </w:rPr>
    </w:lvl>
    <w:lvl w:ilvl="1">
      <w:start w:val="1"/>
      <w:numFmt w:val="upperLetter"/>
      <w:lvlText w:val="%2."/>
      <w:lvlJc w:val="left"/>
      <w:pPr>
        <w:tabs>
          <w:tab w:val="num" w:pos="720"/>
        </w:tabs>
        <w:ind w:firstLine="720"/>
      </w:pPr>
      <w:rPr>
        <w:rFonts w:cs="Times New Roman" w:hint="default"/>
      </w:rPr>
    </w:lvl>
    <w:lvl w:ilvl="2">
      <w:start w:val="1"/>
      <w:numFmt w:val="decimal"/>
      <w:lvlText w:val="%3."/>
      <w:lvlJc w:val="left"/>
      <w:pPr>
        <w:tabs>
          <w:tab w:val="num" w:pos="720"/>
        </w:tabs>
        <w:ind w:firstLine="1440"/>
      </w:pPr>
      <w:rPr>
        <w:rFonts w:cs="Times New Roman" w:hint="default"/>
      </w:rPr>
    </w:lvl>
    <w:lvl w:ilvl="3">
      <w:start w:val="1"/>
      <w:numFmt w:val="decimal"/>
      <w:lvlText w:val="%4."/>
      <w:lvlJc w:val="left"/>
      <w:pPr>
        <w:tabs>
          <w:tab w:val="num" w:pos="720"/>
        </w:tabs>
        <w:ind w:firstLine="1440"/>
      </w:pPr>
      <w:rPr>
        <w:rFonts w:cs="Times New Roman" w:hint="default"/>
      </w:rPr>
    </w:lvl>
    <w:lvl w:ilvl="4">
      <w:start w:val="1"/>
      <w:numFmt w:val="lowerLetter"/>
      <w:lvlText w:val="%5."/>
      <w:lvlJc w:val="left"/>
      <w:pPr>
        <w:tabs>
          <w:tab w:val="num" w:pos="2160"/>
        </w:tabs>
        <w:ind w:firstLine="2160"/>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6"/>
  </w:num>
  <w:num w:numId="15">
    <w:abstractNumId w:val="17"/>
  </w:num>
  <w:num w:numId="16">
    <w:abstractNumId w:val="10"/>
  </w:num>
  <w:num w:numId="17">
    <w:abstractNumId w:val="11"/>
  </w:num>
  <w:num w:numId="18">
    <w:abstractNumId w:val="1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DArtefactLicenceVersion" w:val="0"/>
    <w:docVar w:name="XDAuthorStatus" w:val="Licensed"/>
    <w:docVar w:name="XDSourceDataSetPath" w:val="Ƀ:\XML Data\Sakthikumaran Jyothi - Litigation Client Agreement.xddata.xml"/>
    <w:docVar w:name="XDSourceTemplatePath" w:val="Ƀ:\Account Linked Templates\Client Agreements\Client Agreement - Litigation.xdtpx"/>
  </w:docVars>
  <w:rsids>
    <w:rsidRoot w:val="00CC1EF2"/>
    <w:rsid w:val="00022D5A"/>
    <w:rsid w:val="00024919"/>
    <w:rsid w:val="000345AD"/>
    <w:rsid w:val="0003696C"/>
    <w:rsid w:val="00046FD1"/>
    <w:rsid w:val="00050BA0"/>
    <w:rsid w:val="000532BF"/>
    <w:rsid w:val="0005766F"/>
    <w:rsid w:val="000645A4"/>
    <w:rsid w:val="00073704"/>
    <w:rsid w:val="00077FE5"/>
    <w:rsid w:val="000A38C5"/>
    <w:rsid w:val="000A3B6C"/>
    <w:rsid w:val="000A67ED"/>
    <w:rsid w:val="000D12EF"/>
    <w:rsid w:val="000E2151"/>
    <w:rsid w:val="000E5D0A"/>
    <w:rsid w:val="0010662A"/>
    <w:rsid w:val="0013117A"/>
    <w:rsid w:val="00134A72"/>
    <w:rsid w:val="00134FA5"/>
    <w:rsid w:val="00135836"/>
    <w:rsid w:val="00141BC7"/>
    <w:rsid w:val="001459B1"/>
    <w:rsid w:val="00147102"/>
    <w:rsid w:val="0015328D"/>
    <w:rsid w:val="00163014"/>
    <w:rsid w:val="00167B00"/>
    <w:rsid w:val="00170761"/>
    <w:rsid w:val="00172E91"/>
    <w:rsid w:val="00177285"/>
    <w:rsid w:val="001A6D0C"/>
    <w:rsid w:val="001A7202"/>
    <w:rsid w:val="001C6C3E"/>
    <w:rsid w:val="001C7D96"/>
    <w:rsid w:val="001D00CD"/>
    <w:rsid w:val="001D2D00"/>
    <w:rsid w:val="00200606"/>
    <w:rsid w:val="002220EA"/>
    <w:rsid w:val="0022238B"/>
    <w:rsid w:val="0022255B"/>
    <w:rsid w:val="00251BD8"/>
    <w:rsid w:val="00256E89"/>
    <w:rsid w:val="00266937"/>
    <w:rsid w:val="0026743C"/>
    <w:rsid w:val="002679F7"/>
    <w:rsid w:val="00267D5D"/>
    <w:rsid w:val="00297741"/>
    <w:rsid w:val="002A4308"/>
    <w:rsid w:val="002C1040"/>
    <w:rsid w:val="002C29CB"/>
    <w:rsid w:val="002D243D"/>
    <w:rsid w:val="002D4253"/>
    <w:rsid w:val="002D485A"/>
    <w:rsid w:val="002D7E7B"/>
    <w:rsid w:val="002E159C"/>
    <w:rsid w:val="002E6EA8"/>
    <w:rsid w:val="002E7B3B"/>
    <w:rsid w:val="002F469E"/>
    <w:rsid w:val="002F5A20"/>
    <w:rsid w:val="00316EF4"/>
    <w:rsid w:val="00362D55"/>
    <w:rsid w:val="003730A1"/>
    <w:rsid w:val="00375646"/>
    <w:rsid w:val="00384DB7"/>
    <w:rsid w:val="003919FB"/>
    <w:rsid w:val="003A1915"/>
    <w:rsid w:val="003A7799"/>
    <w:rsid w:val="003B1DD5"/>
    <w:rsid w:val="003B79A8"/>
    <w:rsid w:val="003C6BC6"/>
    <w:rsid w:val="003E3DAE"/>
    <w:rsid w:val="00406A42"/>
    <w:rsid w:val="0042741A"/>
    <w:rsid w:val="00427FBB"/>
    <w:rsid w:val="00437058"/>
    <w:rsid w:val="00450F7F"/>
    <w:rsid w:val="004540A9"/>
    <w:rsid w:val="004662BE"/>
    <w:rsid w:val="00467418"/>
    <w:rsid w:val="00475888"/>
    <w:rsid w:val="00487D2E"/>
    <w:rsid w:val="0049413B"/>
    <w:rsid w:val="00495130"/>
    <w:rsid w:val="004A4893"/>
    <w:rsid w:val="004A6278"/>
    <w:rsid w:val="004B1BC8"/>
    <w:rsid w:val="004B5187"/>
    <w:rsid w:val="004D6E37"/>
    <w:rsid w:val="004E24F6"/>
    <w:rsid w:val="004E4D98"/>
    <w:rsid w:val="004F3692"/>
    <w:rsid w:val="004F7D62"/>
    <w:rsid w:val="004F7E5C"/>
    <w:rsid w:val="00501539"/>
    <w:rsid w:val="00533C6E"/>
    <w:rsid w:val="00541C08"/>
    <w:rsid w:val="00550269"/>
    <w:rsid w:val="0055362E"/>
    <w:rsid w:val="00553DDF"/>
    <w:rsid w:val="005638E7"/>
    <w:rsid w:val="00564E64"/>
    <w:rsid w:val="00581808"/>
    <w:rsid w:val="0059605D"/>
    <w:rsid w:val="005A605F"/>
    <w:rsid w:val="005A62C8"/>
    <w:rsid w:val="005B2340"/>
    <w:rsid w:val="005B7D8F"/>
    <w:rsid w:val="005C1360"/>
    <w:rsid w:val="005D00E3"/>
    <w:rsid w:val="005F57E6"/>
    <w:rsid w:val="006029AB"/>
    <w:rsid w:val="00604FD2"/>
    <w:rsid w:val="006131C2"/>
    <w:rsid w:val="0062522C"/>
    <w:rsid w:val="00630C16"/>
    <w:rsid w:val="00641568"/>
    <w:rsid w:val="00667205"/>
    <w:rsid w:val="00671F0B"/>
    <w:rsid w:val="0068084C"/>
    <w:rsid w:val="006874AA"/>
    <w:rsid w:val="00687A38"/>
    <w:rsid w:val="006B6966"/>
    <w:rsid w:val="006B7820"/>
    <w:rsid w:val="006C34C8"/>
    <w:rsid w:val="006C7EC8"/>
    <w:rsid w:val="006D3B39"/>
    <w:rsid w:val="006E14D5"/>
    <w:rsid w:val="006E4E40"/>
    <w:rsid w:val="006E62A8"/>
    <w:rsid w:val="006F0771"/>
    <w:rsid w:val="00703BA6"/>
    <w:rsid w:val="00705034"/>
    <w:rsid w:val="00706E3D"/>
    <w:rsid w:val="00735F24"/>
    <w:rsid w:val="00744B54"/>
    <w:rsid w:val="00745013"/>
    <w:rsid w:val="007474DD"/>
    <w:rsid w:val="00751A4F"/>
    <w:rsid w:val="007553EF"/>
    <w:rsid w:val="00756731"/>
    <w:rsid w:val="007665EA"/>
    <w:rsid w:val="0076795C"/>
    <w:rsid w:val="00767CEE"/>
    <w:rsid w:val="00782CC0"/>
    <w:rsid w:val="007869B8"/>
    <w:rsid w:val="00797240"/>
    <w:rsid w:val="007A09DF"/>
    <w:rsid w:val="007B1C0D"/>
    <w:rsid w:val="007C0A9A"/>
    <w:rsid w:val="007C7F35"/>
    <w:rsid w:val="007F04A7"/>
    <w:rsid w:val="007F2039"/>
    <w:rsid w:val="0080284D"/>
    <w:rsid w:val="00817D84"/>
    <w:rsid w:val="00824E98"/>
    <w:rsid w:val="00836AA4"/>
    <w:rsid w:val="00836CC0"/>
    <w:rsid w:val="008440A4"/>
    <w:rsid w:val="00844FE9"/>
    <w:rsid w:val="00856494"/>
    <w:rsid w:val="00872323"/>
    <w:rsid w:val="00872EE4"/>
    <w:rsid w:val="00873D5A"/>
    <w:rsid w:val="008850BE"/>
    <w:rsid w:val="0089465D"/>
    <w:rsid w:val="008A7EAD"/>
    <w:rsid w:val="008C395F"/>
    <w:rsid w:val="008D10E9"/>
    <w:rsid w:val="008D271D"/>
    <w:rsid w:val="008E5605"/>
    <w:rsid w:val="008E606B"/>
    <w:rsid w:val="009030F3"/>
    <w:rsid w:val="009356FC"/>
    <w:rsid w:val="009366C5"/>
    <w:rsid w:val="00971133"/>
    <w:rsid w:val="0097688D"/>
    <w:rsid w:val="009947E3"/>
    <w:rsid w:val="00997879"/>
    <w:rsid w:val="009C0764"/>
    <w:rsid w:val="009C3B3E"/>
    <w:rsid w:val="009D53A0"/>
    <w:rsid w:val="009D5CF8"/>
    <w:rsid w:val="009E0F62"/>
    <w:rsid w:val="009F5632"/>
    <w:rsid w:val="00A01589"/>
    <w:rsid w:val="00A07C19"/>
    <w:rsid w:val="00A11873"/>
    <w:rsid w:val="00A36A5A"/>
    <w:rsid w:val="00A520B5"/>
    <w:rsid w:val="00A576ED"/>
    <w:rsid w:val="00A57CB9"/>
    <w:rsid w:val="00A651C9"/>
    <w:rsid w:val="00A67DF1"/>
    <w:rsid w:val="00A73A8A"/>
    <w:rsid w:val="00A81395"/>
    <w:rsid w:val="00A91029"/>
    <w:rsid w:val="00A94803"/>
    <w:rsid w:val="00A97F14"/>
    <w:rsid w:val="00AB44EA"/>
    <w:rsid w:val="00AD102E"/>
    <w:rsid w:val="00AD6653"/>
    <w:rsid w:val="00AE3BB1"/>
    <w:rsid w:val="00B01FF9"/>
    <w:rsid w:val="00B04B05"/>
    <w:rsid w:val="00B057D3"/>
    <w:rsid w:val="00B133AF"/>
    <w:rsid w:val="00B15356"/>
    <w:rsid w:val="00B204AB"/>
    <w:rsid w:val="00B222AE"/>
    <w:rsid w:val="00B35EE7"/>
    <w:rsid w:val="00B3625D"/>
    <w:rsid w:val="00B55EF6"/>
    <w:rsid w:val="00B620BC"/>
    <w:rsid w:val="00B65F0E"/>
    <w:rsid w:val="00B66F04"/>
    <w:rsid w:val="00B729C4"/>
    <w:rsid w:val="00B77061"/>
    <w:rsid w:val="00B8777E"/>
    <w:rsid w:val="00BB1656"/>
    <w:rsid w:val="00BE25A6"/>
    <w:rsid w:val="00BF4F6A"/>
    <w:rsid w:val="00BF5852"/>
    <w:rsid w:val="00BF744E"/>
    <w:rsid w:val="00BF7EF2"/>
    <w:rsid w:val="00C0185B"/>
    <w:rsid w:val="00C01E71"/>
    <w:rsid w:val="00C06B8E"/>
    <w:rsid w:val="00C0755F"/>
    <w:rsid w:val="00C157DD"/>
    <w:rsid w:val="00C26B2E"/>
    <w:rsid w:val="00C33BE9"/>
    <w:rsid w:val="00C5639D"/>
    <w:rsid w:val="00C733DA"/>
    <w:rsid w:val="00C7394A"/>
    <w:rsid w:val="00C8632D"/>
    <w:rsid w:val="00CA3219"/>
    <w:rsid w:val="00CC185C"/>
    <w:rsid w:val="00CC1EF2"/>
    <w:rsid w:val="00CE5BF2"/>
    <w:rsid w:val="00CF3932"/>
    <w:rsid w:val="00CF4412"/>
    <w:rsid w:val="00D12F29"/>
    <w:rsid w:val="00D137D4"/>
    <w:rsid w:val="00D14A23"/>
    <w:rsid w:val="00D154AA"/>
    <w:rsid w:val="00D42700"/>
    <w:rsid w:val="00D62535"/>
    <w:rsid w:val="00D66F50"/>
    <w:rsid w:val="00D91D6D"/>
    <w:rsid w:val="00D9606E"/>
    <w:rsid w:val="00DA1CEF"/>
    <w:rsid w:val="00DA27F5"/>
    <w:rsid w:val="00DA6558"/>
    <w:rsid w:val="00DE106A"/>
    <w:rsid w:val="00DE20D4"/>
    <w:rsid w:val="00DE6399"/>
    <w:rsid w:val="00E0161D"/>
    <w:rsid w:val="00E02134"/>
    <w:rsid w:val="00E150D5"/>
    <w:rsid w:val="00E15628"/>
    <w:rsid w:val="00E15800"/>
    <w:rsid w:val="00E21FF9"/>
    <w:rsid w:val="00E7767C"/>
    <w:rsid w:val="00E85937"/>
    <w:rsid w:val="00E90C21"/>
    <w:rsid w:val="00E97BED"/>
    <w:rsid w:val="00EB4BD1"/>
    <w:rsid w:val="00EB7F48"/>
    <w:rsid w:val="00EC0AE9"/>
    <w:rsid w:val="00ED7ADE"/>
    <w:rsid w:val="00EF3593"/>
    <w:rsid w:val="00F02E25"/>
    <w:rsid w:val="00F12546"/>
    <w:rsid w:val="00F12F68"/>
    <w:rsid w:val="00F235BB"/>
    <w:rsid w:val="00F32081"/>
    <w:rsid w:val="00F42A3E"/>
    <w:rsid w:val="00F45DF4"/>
    <w:rsid w:val="00F46B11"/>
    <w:rsid w:val="00F54555"/>
    <w:rsid w:val="00F5575B"/>
    <w:rsid w:val="00F77259"/>
    <w:rsid w:val="00F813A3"/>
    <w:rsid w:val="00F94BD7"/>
    <w:rsid w:val="00FA6DF6"/>
    <w:rsid w:val="00FD02D7"/>
    <w:rsid w:val="00FD1301"/>
    <w:rsid w:val="00FD1875"/>
    <w:rsid w:val="00FD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C254B5"/>
  <w15:docId w15:val="{060BD6A2-52C7-41EF-A692-A1094989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134"/>
  </w:style>
  <w:style w:type="paragraph" w:styleId="Heading6">
    <w:name w:val="heading 6"/>
    <w:basedOn w:val="Normal"/>
    <w:next w:val="Normal"/>
    <w:link w:val="Heading6Char"/>
    <w:uiPriority w:val="99"/>
    <w:qFormat/>
    <w:rsid w:val="00E0213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E02134"/>
    <w:pPr>
      <w:numPr>
        <w:ilvl w:val="6"/>
        <w:numId w:val="1"/>
      </w:numPr>
      <w:spacing w:before="240" w:after="60"/>
      <w:outlineLvl w:val="6"/>
    </w:pPr>
  </w:style>
  <w:style w:type="paragraph" w:styleId="Heading8">
    <w:name w:val="heading 8"/>
    <w:basedOn w:val="Normal"/>
    <w:next w:val="Normal"/>
    <w:link w:val="Heading8Char"/>
    <w:uiPriority w:val="99"/>
    <w:qFormat/>
    <w:rsid w:val="00E02134"/>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E02134"/>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locked/>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Pr>
      <w:rFonts w:ascii="Cambria" w:eastAsia="Times New Roman" w:hAnsi="Cambria" w:cs="Times New Roman"/>
    </w:rPr>
  </w:style>
  <w:style w:type="paragraph" w:styleId="DocumentMap">
    <w:name w:val="Document Map"/>
    <w:basedOn w:val="Normal"/>
    <w:link w:val="DocumentMapChar"/>
    <w:uiPriority w:val="99"/>
    <w:semiHidden/>
    <w:rsid w:val="0089465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customStyle="1" w:styleId="TRBase">
    <w:name w:val="TR_Base"/>
    <w:uiPriority w:val="99"/>
    <w:rsid w:val="00E02134"/>
  </w:style>
  <w:style w:type="paragraph" w:customStyle="1" w:styleId="TRArt1">
    <w:name w:val="TR_Art1"/>
    <w:basedOn w:val="TRBase"/>
    <w:uiPriority w:val="99"/>
    <w:rsid w:val="00E02134"/>
    <w:pPr>
      <w:keepNext/>
      <w:keepLines/>
      <w:numPr>
        <w:numId w:val="1"/>
      </w:numPr>
      <w:spacing w:before="240" w:after="240"/>
      <w:jc w:val="center"/>
      <w:outlineLvl w:val="0"/>
    </w:pPr>
    <w:rPr>
      <w:b/>
      <w:bCs/>
    </w:rPr>
  </w:style>
  <w:style w:type="paragraph" w:customStyle="1" w:styleId="TRArt3">
    <w:name w:val="TR_Art3"/>
    <w:basedOn w:val="TRBase"/>
    <w:uiPriority w:val="99"/>
    <w:rsid w:val="00E02134"/>
    <w:pPr>
      <w:spacing w:line="360" w:lineRule="auto"/>
      <w:outlineLvl w:val="2"/>
    </w:pPr>
    <w:rPr>
      <w:b/>
      <w:bCs/>
      <w:i/>
      <w:iCs/>
    </w:rPr>
  </w:style>
  <w:style w:type="character" w:customStyle="1" w:styleId="TREmphasis">
    <w:name w:val="TR_Emphasis"/>
    <w:uiPriority w:val="99"/>
    <w:rsid w:val="00E02134"/>
    <w:rPr>
      <w:b/>
    </w:rPr>
  </w:style>
  <w:style w:type="paragraph" w:customStyle="1" w:styleId="TRBody">
    <w:name w:val="TR_Body"/>
    <w:basedOn w:val="TRBase"/>
    <w:uiPriority w:val="99"/>
    <w:rsid w:val="00E02134"/>
    <w:pPr>
      <w:jc w:val="both"/>
    </w:pPr>
  </w:style>
  <w:style w:type="paragraph" w:customStyle="1" w:styleId="TRBody1">
    <w:name w:val="TR_Body1"/>
    <w:basedOn w:val="TRBody"/>
    <w:rsid w:val="00E02134"/>
    <w:pPr>
      <w:spacing w:after="240"/>
      <w:ind w:firstLine="720"/>
    </w:pPr>
  </w:style>
  <w:style w:type="paragraph" w:customStyle="1" w:styleId="TRTitle">
    <w:name w:val="TR_Title"/>
    <w:basedOn w:val="TRBase"/>
    <w:uiPriority w:val="99"/>
    <w:rsid w:val="00E02134"/>
    <w:pPr>
      <w:spacing w:after="360"/>
      <w:jc w:val="center"/>
    </w:pPr>
    <w:rPr>
      <w:b/>
      <w:bCs/>
    </w:rPr>
  </w:style>
  <w:style w:type="paragraph" w:customStyle="1" w:styleId="TRArt2">
    <w:name w:val="TR_Art2"/>
    <w:basedOn w:val="TRBase"/>
    <w:uiPriority w:val="99"/>
    <w:rsid w:val="00E02134"/>
    <w:pPr>
      <w:numPr>
        <w:ilvl w:val="1"/>
        <w:numId w:val="1"/>
      </w:numPr>
      <w:spacing w:before="120" w:after="120"/>
      <w:jc w:val="both"/>
      <w:outlineLvl w:val="1"/>
    </w:pPr>
  </w:style>
  <w:style w:type="paragraph" w:customStyle="1" w:styleId="TRArt3B">
    <w:name w:val="TR_Art3B"/>
    <w:basedOn w:val="TRBody"/>
    <w:uiPriority w:val="99"/>
    <w:rsid w:val="00E02134"/>
    <w:pPr>
      <w:numPr>
        <w:ilvl w:val="2"/>
        <w:numId w:val="1"/>
      </w:numPr>
      <w:spacing w:before="120" w:after="120"/>
      <w:outlineLvl w:val="2"/>
    </w:pPr>
  </w:style>
  <w:style w:type="paragraph" w:customStyle="1" w:styleId="TRArt4B">
    <w:name w:val="TR_Art4B"/>
    <w:basedOn w:val="TRBody"/>
    <w:uiPriority w:val="99"/>
    <w:rsid w:val="00E02134"/>
    <w:pPr>
      <w:numPr>
        <w:ilvl w:val="3"/>
        <w:numId w:val="1"/>
      </w:numPr>
      <w:spacing w:before="120" w:after="120"/>
      <w:outlineLvl w:val="3"/>
    </w:pPr>
  </w:style>
  <w:style w:type="paragraph" w:customStyle="1" w:styleId="TRSigLine">
    <w:name w:val="TR_SigLine"/>
    <w:basedOn w:val="TRBase"/>
    <w:next w:val="Normal"/>
    <w:uiPriority w:val="99"/>
    <w:rsid w:val="00E02134"/>
    <w:pPr>
      <w:spacing w:before="360"/>
      <w:ind w:left="2880"/>
    </w:pPr>
  </w:style>
  <w:style w:type="paragraph" w:customStyle="1" w:styleId="TRSigBy">
    <w:name w:val="TR_SigBy"/>
    <w:basedOn w:val="TRBase"/>
    <w:uiPriority w:val="99"/>
    <w:rsid w:val="00E02134"/>
    <w:pPr>
      <w:spacing w:before="360"/>
      <w:ind w:left="3960"/>
    </w:pPr>
  </w:style>
  <w:style w:type="paragraph" w:customStyle="1" w:styleId="TRAffid">
    <w:name w:val="TR_Affid"/>
    <w:basedOn w:val="TRBase"/>
    <w:uiPriority w:val="99"/>
    <w:rsid w:val="00E02134"/>
    <w:pPr>
      <w:tabs>
        <w:tab w:val="left" w:pos="4320"/>
      </w:tabs>
    </w:pPr>
  </w:style>
  <w:style w:type="paragraph" w:customStyle="1" w:styleId="TRNotary">
    <w:name w:val="TR_Notary"/>
    <w:basedOn w:val="TRBase"/>
    <w:uiPriority w:val="99"/>
    <w:rsid w:val="00E02134"/>
    <w:pPr>
      <w:spacing w:after="120"/>
      <w:jc w:val="both"/>
    </w:pPr>
  </w:style>
  <w:style w:type="paragraph" w:customStyle="1" w:styleId="TRCover">
    <w:name w:val="TR_Cover"/>
    <w:basedOn w:val="TRBase"/>
    <w:uiPriority w:val="99"/>
    <w:rsid w:val="00E02134"/>
    <w:pPr>
      <w:spacing w:after="120"/>
      <w:jc w:val="center"/>
    </w:pPr>
  </w:style>
  <w:style w:type="paragraph" w:customStyle="1" w:styleId="TRBody2">
    <w:name w:val="TR_Body2"/>
    <w:basedOn w:val="TRBase"/>
    <w:uiPriority w:val="99"/>
    <w:rsid w:val="00E02134"/>
    <w:pPr>
      <w:spacing w:after="240"/>
      <w:jc w:val="both"/>
    </w:pPr>
  </w:style>
  <w:style w:type="paragraph" w:customStyle="1" w:styleId="TRCoverTitle">
    <w:name w:val="TR_CoverTitle"/>
    <w:basedOn w:val="TRBase"/>
    <w:next w:val="TRBase"/>
    <w:uiPriority w:val="99"/>
    <w:rsid w:val="00E02134"/>
    <w:pPr>
      <w:keepNext/>
      <w:spacing w:before="1920" w:after="960"/>
      <w:ind w:left="720" w:right="720"/>
      <w:jc w:val="center"/>
    </w:pPr>
    <w:rPr>
      <w:sz w:val="48"/>
      <w:szCs w:val="48"/>
    </w:rPr>
  </w:style>
  <w:style w:type="paragraph" w:customStyle="1" w:styleId="TRBody3">
    <w:name w:val="TR_Body3"/>
    <w:basedOn w:val="TRBase"/>
    <w:uiPriority w:val="99"/>
    <w:rsid w:val="00E02134"/>
    <w:pPr>
      <w:spacing w:after="240"/>
      <w:ind w:firstLine="720"/>
      <w:jc w:val="both"/>
    </w:pPr>
  </w:style>
  <w:style w:type="paragraph" w:customStyle="1" w:styleId="TRSigName">
    <w:name w:val="TR_SigName"/>
    <w:basedOn w:val="TRBase"/>
    <w:uiPriority w:val="99"/>
    <w:rsid w:val="00E02134"/>
    <w:pPr>
      <w:ind w:left="2880"/>
    </w:pPr>
  </w:style>
  <w:style w:type="paragraph" w:customStyle="1" w:styleId="TRBody4">
    <w:name w:val="TR_Body4"/>
    <w:basedOn w:val="TRBase"/>
    <w:uiPriority w:val="99"/>
    <w:rsid w:val="00E02134"/>
    <w:pPr>
      <w:spacing w:after="240"/>
      <w:jc w:val="both"/>
    </w:pPr>
  </w:style>
  <w:style w:type="paragraph" w:customStyle="1" w:styleId="TRMemHeader1">
    <w:name w:val="TR_MemHeader1"/>
    <w:basedOn w:val="TRBase"/>
    <w:next w:val="TRMemBody"/>
    <w:uiPriority w:val="99"/>
    <w:rsid w:val="00E02134"/>
    <w:pPr>
      <w:spacing w:after="240"/>
      <w:ind w:left="720" w:right="720"/>
      <w:jc w:val="center"/>
    </w:pPr>
    <w:rPr>
      <w:b/>
      <w:bCs/>
    </w:rPr>
  </w:style>
  <w:style w:type="paragraph" w:customStyle="1" w:styleId="TRMemHeader2">
    <w:name w:val="TR_MemHeader2"/>
    <w:basedOn w:val="TRBase"/>
    <w:next w:val="TRMemBody"/>
    <w:uiPriority w:val="99"/>
    <w:rsid w:val="00E02134"/>
    <w:pPr>
      <w:spacing w:after="240"/>
      <w:ind w:left="720"/>
    </w:pPr>
    <w:rPr>
      <w:b/>
      <w:bCs/>
    </w:rPr>
  </w:style>
  <w:style w:type="paragraph" w:customStyle="1" w:styleId="TRMemBody">
    <w:name w:val="TR_MemBody"/>
    <w:basedOn w:val="TRBase"/>
    <w:uiPriority w:val="99"/>
    <w:rsid w:val="00E02134"/>
    <w:pPr>
      <w:spacing w:after="240"/>
      <w:ind w:firstLine="720"/>
      <w:jc w:val="both"/>
    </w:pPr>
  </w:style>
  <w:style w:type="paragraph" w:customStyle="1" w:styleId="TRMemAddr">
    <w:name w:val="TR_MemAddr"/>
    <w:basedOn w:val="TRBase"/>
    <w:uiPriority w:val="99"/>
    <w:rsid w:val="00E02134"/>
    <w:pPr>
      <w:ind w:left="1440" w:right="720" w:hanging="1440"/>
    </w:pPr>
  </w:style>
  <w:style w:type="paragraph" w:customStyle="1" w:styleId="TRMemBullet">
    <w:name w:val="TR_MemBullet"/>
    <w:basedOn w:val="TRBase"/>
    <w:uiPriority w:val="99"/>
    <w:rsid w:val="00E02134"/>
    <w:pPr>
      <w:numPr>
        <w:numId w:val="2"/>
      </w:numPr>
      <w:spacing w:after="120"/>
      <w:ind w:left="1080"/>
    </w:pPr>
  </w:style>
  <w:style w:type="paragraph" w:customStyle="1" w:styleId="TRLtr">
    <w:name w:val="TR_Ltr"/>
    <w:basedOn w:val="TRBase"/>
    <w:uiPriority w:val="99"/>
    <w:rsid w:val="00E02134"/>
  </w:style>
  <w:style w:type="paragraph" w:customStyle="1" w:styleId="TRLtrDate">
    <w:name w:val="TR_LtrDate"/>
    <w:basedOn w:val="TRLtr"/>
    <w:next w:val="TRLtr"/>
    <w:uiPriority w:val="99"/>
    <w:rsid w:val="00E02134"/>
    <w:pPr>
      <w:spacing w:after="120"/>
      <w:ind w:left="4320"/>
    </w:pPr>
  </w:style>
  <w:style w:type="paragraph" w:customStyle="1" w:styleId="TRLtrBody">
    <w:name w:val="TR_LtrBody"/>
    <w:basedOn w:val="TRLtr"/>
    <w:uiPriority w:val="99"/>
    <w:rsid w:val="00E02134"/>
    <w:pPr>
      <w:spacing w:after="240"/>
      <w:ind w:firstLine="720"/>
      <w:jc w:val="both"/>
    </w:pPr>
  </w:style>
  <w:style w:type="paragraph" w:customStyle="1" w:styleId="TRLtrRe">
    <w:name w:val="TR_LtrRe"/>
    <w:basedOn w:val="TRLtr"/>
    <w:next w:val="TRLtrBody"/>
    <w:uiPriority w:val="99"/>
    <w:rsid w:val="00E02134"/>
    <w:pPr>
      <w:spacing w:after="240"/>
      <w:ind w:left="1440" w:hanging="720"/>
    </w:pPr>
  </w:style>
  <w:style w:type="character" w:customStyle="1" w:styleId="Object">
    <w:name w:val="Object"/>
    <w:basedOn w:val="DefaultParagraphFont"/>
    <w:uiPriority w:val="99"/>
    <w:rsid w:val="00E02134"/>
    <w:rPr>
      <w:rFonts w:cs="Times New Roman"/>
      <w:vanish/>
      <w:color w:val="800000"/>
      <w:vertAlign w:val="superscript"/>
    </w:rPr>
  </w:style>
  <w:style w:type="paragraph" w:customStyle="1" w:styleId="TRHeaderBar">
    <w:name w:val="TR_HeaderBar"/>
    <w:basedOn w:val="TRBase"/>
    <w:uiPriority w:val="99"/>
    <w:rsid w:val="00E02134"/>
    <w:pPr>
      <w:pBdr>
        <w:top w:val="single" w:sz="4" w:space="1" w:color="auto"/>
        <w:bottom w:val="single" w:sz="4" w:space="1" w:color="auto"/>
      </w:pBdr>
      <w:spacing w:before="240" w:after="240"/>
      <w:jc w:val="center"/>
    </w:pPr>
    <w:rPr>
      <w:b/>
      <w:bCs/>
    </w:rPr>
  </w:style>
  <w:style w:type="paragraph" w:customStyle="1" w:styleId="TRFooterBase">
    <w:name w:val="TR_Footer_Base"/>
    <w:basedOn w:val="TRBase"/>
    <w:uiPriority w:val="99"/>
    <w:rsid w:val="00E02134"/>
    <w:pPr>
      <w:tabs>
        <w:tab w:val="center" w:pos="4680"/>
        <w:tab w:val="right" w:pos="9360"/>
      </w:tabs>
    </w:pPr>
    <w:rPr>
      <w:sz w:val="16"/>
      <w:szCs w:val="16"/>
    </w:rPr>
  </w:style>
  <w:style w:type="character" w:customStyle="1" w:styleId="TRFooter8">
    <w:name w:val="TR_Footer_8"/>
    <w:basedOn w:val="DefaultParagraphFont"/>
    <w:uiPriority w:val="99"/>
    <w:rsid w:val="00E02134"/>
    <w:rPr>
      <w:rFonts w:cs="Times New Roman"/>
      <w:b/>
      <w:bCs/>
      <w:sz w:val="16"/>
      <w:szCs w:val="16"/>
    </w:rPr>
  </w:style>
  <w:style w:type="character" w:customStyle="1" w:styleId="TRFooter10">
    <w:name w:val="TR_Footer_10"/>
    <w:basedOn w:val="DefaultParagraphFont"/>
    <w:uiPriority w:val="99"/>
    <w:rsid w:val="00E02134"/>
    <w:rPr>
      <w:rFonts w:cs="Times New Roman"/>
      <w:sz w:val="20"/>
      <w:szCs w:val="20"/>
    </w:rPr>
  </w:style>
  <w:style w:type="character" w:customStyle="1" w:styleId="TRFooter12">
    <w:name w:val="TR_Footer_12"/>
    <w:basedOn w:val="DefaultParagraphFont"/>
    <w:uiPriority w:val="99"/>
    <w:rsid w:val="00E02134"/>
    <w:rPr>
      <w:rFonts w:cs="Times New Roman"/>
      <w:sz w:val="24"/>
      <w:szCs w:val="24"/>
    </w:rPr>
  </w:style>
  <w:style w:type="paragraph" w:customStyle="1" w:styleId="TRBodyNum">
    <w:name w:val="TR_BodyNum"/>
    <w:basedOn w:val="TRBody1"/>
    <w:uiPriority w:val="99"/>
    <w:rsid w:val="00E02134"/>
    <w:pPr>
      <w:numPr>
        <w:numId w:val="15"/>
      </w:numPr>
    </w:pPr>
  </w:style>
  <w:style w:type="paragraph" w:customStyle="1" w:styleId="TRBodyAlpha">
    <w:name w:val="TR_BodyAlpha"/>
    <w:basedOn w:val="TRBody1"/>
    <w:uiPriority w:val="99"/>
    <w:rsid w:val="00E02134"/>
    <w:pPr>
      <w:numPr>
        <w:numId w:val="16"/>
      </w:numPr>
    </w:pPr>
  </w:style>
  <w:style w:type="paragraph" w:styleId="BalloonText">
    <w:name w:val="Balloon Text"/>
    <w:basedOn w:val="Normal"/>
    <w:link w:val="BalloonTextChar"/>
    <w:uiPriority w:val="99"/>
    <w:semiHidden/>
    <w:unhideWhenUsed/>
    <w:rsid w:val="00C7394A"/>
    <w:rPr>
      <w:rFonts w:ascii="Tahoma" w:hAnsi="Tahoma" w:cs="Tahoma"/>
      <w:sz w:val="16"/>
      <w:szCs w:val="16"/>
    </w:rPr>
  </w:style>
  <w:style w:type="character" w:customStyle="1" w:styleId="BalloonTextChar">
    <w:name w:val="Balloon Text Char"/>
    <w:basedOn w:val="DefaultParagraphFont"/>
    <w:link w:val="BalloonText"/>
    <w:uiPriority w:val="99"/>
    <w:semiHidden/>
    <w:rsid w:val="00C7394A"/>
    <w:rPr>
      <w:rFonts w:ascii="Tahoma" w:hAnsi="Tahoma" w:cs="Tahoma"/>
      <w:sz w:val="16"/>
      <w:szCs w:val="16"/>
    </w:rPr>
  </w:style>
  <w:style w:type="paragraph" w:styleId="Header">
    <w:name w:val="header"/>
    <w:basedOn w:val="Normal"/>
    <w:link w:val="HeaderChar"/>
    <w:uiPriority w:val="99"/>
    <w:unhideWhenUsed/>
    <w:rsid w:val="00BF744E"/>
    <w:pPr>
      <w:tabs>
        <w:tab w:val="center" w:pos="4320"/>
        <w:tab w:val="right" w:pos="8640"/>
      </w:tabs>
    </w:pPr>
  </w:style>
  <w:style w:type="character" w:customStyle="1" w:styleId="HeaderChar">
    <w:name w:val="Header Char"/>
    <w:basedOn w:val="DefaultParagraphFont"/>
    <w:link w:val="Header"/>
    <w:uiPriority w:val="99"/>
    <w:rsid w:val="00BF744E"/>
    <w:rPr>
      <w:sz w:val="24"/>
      <w:szCs w:val="24"/>
    </w:rPr>
  </w:style>
  <w:style w:type="paragraph" w:styleId="Footer">
    <w:name w:val="footer"/>
    <w:basedOn w:val="Normal"/>
    <w:link w:val="FooterChar"/>
    <w:uiPriority w:val="99"/>
    <w:unhideWhenUsed/>
    <w:rsid w:val="00BF744E"/>
    <w:pPr>
      <w:tabs>
        <w:tab w:val="center" w:pos="4320"/>
        <w:tab w:val="right" w:pos="8640"/>
      </w:tabs>
    </w:pPr>
  </w:style>
  <w:style w:type="character" w:customStyle="1" w:styleId="FooterChar">
    <w:name w:val="Footer Char"/>
    <w:basedOn w:val="DefaultParagraphFont"/>
    <w:link w:val="Footer"/>
    <w:uiPriority w:val="99"/>
    <w:rsid w:val="00BF74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758952">
      <w:bodyDiv w:val="1"/>
      <w:marLeft w:val="0"/>
      <w:marRight w:val="0"/>
      <w:marTop w:val="0"/>
      <w:marBottom w:val="0"/>
      <w:divBdr>
        <w:top w:val="none" w:sz="0" w:space="0" w:color="auto"/>
        <w:left w:val="none" w:sz="0" w:space="0" w:color="auto"/>
        <w:bottom w:val="none" w:sz="0" w:space="0" w:color="auto"/>
        <w:right w:val="none" w:sz="0" w:space="0" w:color="auto"/>
      </w:divBdr>
    </w:div>
    <w:div w:id="14823810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Rosen Law Firm</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Mazzone</dc:creator>
  <cp:keywords/>
  <dc:description/>
  <cp:lastModifiedBy>Lisa</cp:lastModifiedBy>
  <cp:revision>2</cp:revision>
  <cp:lastPrinted>2016-06-13T19:58:00Z</cp:lastPrinted>
  <dcterms:created xsi:type="dcterms:W3CDTF">2020-10-15T21:34:00Z</dcterms:created>
  <dcterms:modified xsi:type="dcterms:W3CDTF">2020-10-15T21:34:00Z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From">
    <vt:lpwstr>\Rosen Family Law System\~Template Files\Agreements</vt:lpwstr>
  </property>
  <property fmtid="{D5CDD505-2E9C-101B-9397-08002B2CF9AE}" pid="3" name="SourceFileName">
    <vt:lpwstr>Client Agreement - Litigation.rtf</vt:lpwstr>
  </property>
  <property fmtid="{D5CDD505-2E9C-101B-9397-08002B2CF9AE}" pid="4" name="XDMergeSignature">
    <vt:lpwstr>Produced by XpressDox® version 11.6.2.7 on 2020-06-16 21:19:56 from template Client Agreement - Litigation.xdtpx</vt:lpwstr>
  </property>
  <property fmtid="{D5CDD505-2E9C-101B-9397-08002B2CF9AE}" pid="5" name="XDCreatedByServer">
    <vt:lpwstr>True</vt:lpwstr>
  </property>
</Properties>
</file>